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58CB4" w14:textId="22E448D6" w:rsidR="0047628C" w:rsidRDefault="008426DE" w:rsidP="00EC1437">
      <w:pPr>
        <w:jc w:val="center"/>
        <w:rPr>
          <w:b/>
          <w:bCs/>
          <w:color w:val="1F3864" w:themeColor="accent1" w:themeShade="80"/>
          <w:spacing w:val="20"/>
          <w:sz w:val="32"/>
          <w:szCs w:val="32"/>
        </w:rPr>
      </w:pPr>
      <w:r w:rsidRPr="0047628C">
        <w:rPr>
          <w:b/>
          <w:bCs/>
          <w:noProof/>
          <w:color w:val="1F3864" w:themeColor="accent1" w:themeShade="80"/>
          <w:spacing w:val="20"/>
          <w:sz w:val="32"/>
          <w:szCs w:val="32"/>
        </w:rPr>
        <w:drawing>
          <wp:anchor distT="0" distB="0" distL="114300" distR="114300" simplePos="0" relativeHeight="251676672" behindDoc="0" locked="0" layoutInCell="1" allowOverlap="1" wp14:anchorId="234EF5FC" wp14:editId="4B287365">
            <wp:simplePos x="0" y="0"/>
            <wp:positionH relativeFrom="margin">
              <wp:posOffset>5305796</wp:posOffset>
            </wp:positionH>
            <wp:positionV relativeFrom="paragraph">
              <wp:posOffset>-532765</wp:posOffset>
            </wp:positionV>
            <wp:extent cx="1228090" cy="120523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CSA sqcolor.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8090" cy="1205230"/>
                    </a:xfrm>
                    <a:prstGeom prst="rect">
                      <a:avLst/>
                    </a:prstGeom>
                    <a:blipFill>
                      <a:blip r:embed="rId8"/>
                      <a:tile tx="0" ty="0" sx="100000" sy="100000" flip="none" algn="tl"/>
                    </a:blipFill>
                  </pic:spPr>
                </pic:pic>
              </a:graphicData>
            </a:graphic>
            <wp14:sizeRelH relativeFrom="margin">
              <wp14:pctWidth>0</wp14:pctWidth>
            </wp14:sizeRelH>
            <wp14:sizeRelV relativeFrom="margin">
              <wp14:pctHeight>0</wp14:pctHeight>
            </wp14:sizeRelV>
          </wp:anchor>
        </w:drawing>
      </w:r>
      <w:r w:rsidRPr="0047628C">
        <w:rPr>
          <w:b/>
          <w:bCs/>
          <w:noProof/>
          <w:color w:val="1F3864" w:themeColor="accent1" w:themeShade="80"/>
          <w:spacing w:val="20"/>
          <w:sz w:val="32"/>
          <w:szCs w:val="32"/>
        </w:rPr>
        <mc:AlternateContent>
          <mc:Choice Requires="wps">
            <w:drawing>
              <wp:anchor distT="0" distB="0" distL="114300" distR="114300" simplePos="0" relativeHeight="251675648" behindDoc="0" locked="0" layoutInCell="1" allowOverlap="1" wp14:anchorId="0536A2B3" wp14:editId="328E943B">
                <wp:simplePos x="0" y="0"/>
                <wp:positionH relativeFrom="margin">
                  <wp:posOffset>-342265</wp:posOffset>
                </wp:positionH>
                <wp:positionV relativeFrom="paragraph">
                  <wp:posOffset>-563616</wp:posOffset>
                </wp:positionV>
                <wp:extent cx="6935470" cy="136461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6935470" cy="1364615"/>
                        </a:xfrm>
                        <a:prstGeom prst="rect">
                          <a:avLst/>
                        </a:prstGeom>
                        <a:gradFill flip="none" rotWithShape="1">
                          <a:gsLst>
                            <a:gs pos="7000">
                              <a:schemeClr val="accent5">
                                <a:lumMod val="0"/>
                                <a:lumOff val="100000"/>
                              </a:schemeClr>
                            </a:gs>
                            <a:gs pos="16000">
                              <a:schemeClr val="accent5">
                                <a:lumMod val="0"/>
                                <a:lumOff val="100000"/>
                              </a:schemeClr>
                            </a:gs>
                            <a:gs pos="95000">
                              <a:schemeClr val="accent5">
                                <a:lumMod val="100000"/>
                              </a:schemeClr>
                            </a:gs>
                          </a:gsLst>
                          <a:path path="circle">
                            <a:fillToRect l="100000" t="100000"/>
                          </a:path>
                          <a:tileRect r="-100000" b="-100000"/>
                        </a:gradFill>
                        <a:ln w="6350">
                          <a:noFill/>
                        </a:ln>
                        <a:effectLst>
                          <a:softEdge rad="38100"/>
                        </a:effectLst>
                      </wps:spPr>
                      <wps:txbx>
                        <w:txbxContent>
                          <w:p w14:paraId="5894728C" w14:textId="7B17110F" w:rsidR="005735ED" w:rsidRPr="00B73631" w:rsidRDefault="005735ED" w:rsidP="0047628C">
                            <w:pPr>
                              <w:jc w:val="both"/>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sidRPr="00B73631">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xml:space="preserve">GCSA </w:t>
                            </w:r>
                            <w:r>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Workbook</w:t>
                            </w:r>
                          </w:p>
                          <w:p w14:paraId="51FB3CE6" w14:textId="77777777" w:rsidR="005735ED" w:rsidRPr="00E81456" w:rsidRDefault="005735ED" w:rsidP="0047628C">
                            <w:pPr>
                              <w:pStyle w:val="Footer"/>
                              <w:jc w:val="both"/>
                              <w:rPr>
                                <w:bCs/>
                                <w:i/>
                                <w:iCs/>
                                <w:noProof/>
                                <w:color w:val="FFFFFF" w:themeColor="background1"/>
                                <w:spacing w:val="60"/>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sidRPr="00E81456">
                              <w:rPr>
                                <w:i/>
                                <w:iCs/>
                                <w:noProof/>
                                <w:color w:val="FFFFFF" w:themeColor="background1"/>
                                <w:spacing w:val="60"/>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Prepared by INCOG</w:t>
                            </w:r>
                          </w:p>
                          <w:p w14:paraId="2E5C2DCE" w14:textId="334B3D8B" w:rsidR="005735ED" w:rsidRPr="002B7B76" w:rsidRDefault="00E43B05" w:rsidP="0047628C">
                            <w:pPr>
                              <w:pStyle w:val="Footer"/>
                              <w:spacing w:before="240"/>
                              <w:jc w:val="both"/>
                              <w:rPr>
                                <w:bCs/>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January</w:t>
                            </w:r>
                            <w:r w:rsidR="005735ED">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xml:space="preserve"> </w:t>
                            </w:r>
                            <w:r w:rsidR="005735ED" w:rsidRPr="002B7B76">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202</w:t>
                            </w:r>
                            <w:r>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1</w:t>
                            </w:r>
                            <w:r w:rsidR="005735ED" w:rsidRPr="002B7B76">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v1</w:t>
                            </w:r>
                          </w:p>
                          <w:p w14:paraId="2156010B" w14:textId="77777777" w:rsidR="005735ED" w:rsidRDefault="005735ED" w:rsidP="0047628C">
                            <w:pPr>
                              <w:jc w:val="both"/>
                              <w:rPr>
                                <w:b/>
                                <w:noProof/>
                                <w:color w:val="FFFFFF" w:themeColor="background1"/>
                                <w:spacing w:val="60"/>
                                <w:sz w:val="68"/>
                                <w:szCs w:val="6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7B72C83A" w14:textId="77777777" w:rsidR="005735ED" w:rsidRDefault="005735ED" w:rsidP="0047628C">
                            <w:pPr>
                              <w:pStyle w:val="Footer"/>
                              <w:widowControl w:val="0"/>
                              <w:tabs>
                                <w:tab w:val="clear" w:pos="4680"/>
                                <w:tab w:val="clear" w:pos="9360"/>
                                <w:tab w:val="right" w:pos="11430"/>
                              </w:tabs>
                              <w:rPr>
                                <w:b/>
                                <w:noProof/>
                                <w:color w:val="FFFFFF" w:themeColor="background1"/>
                                <w:spacing w:val="60"/>
                                <w:sz w:val="60"/>
                                <w:szCs w:val="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b/>
                                <w:noProof/>
                                <w:color w:val="FFFFFF" w:themeColor="background1"/>
                                <w:spacing w:val="60"/>
                                <w:sz w:val="60"/>
                                <w:szCs w:val="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ab/>
                            </w:r>
                          </w:p>
                          <w:p w14:paraId="7D7852FA" w14:textId="77777777" w:rsidR="005735ED" w:rsidRDefault="005735ED" w:rsidP="004762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6A2B3" id="_x0000_t202" coordsize="21600,21600" o:spt="202" path="m,l,21600r21600,l21600,xe">
                <v:stroke joinstyle="miter"/>
                <v:path gradientshapeok="t" o:connecttype="rect"/>
              </v:shapetype>
              <v:shape id="Text Box 2" o:spid="_x0000_s1026" type="#_x0000_t202" style="position:absolute;left:0;text-align:left;margin-left:-26.95pt;margin-top:-44.4pt;width:546.1pt;height:107.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" fillcolor="white [24]" stroked="f" strokeweight=".5pt">
                <v:fill color2="#5b9bd5 [3208]" rotate="t" focusposition="1,1" focussize="" colors="0 white;4588f white;10486f white" focus="100%" type="gradientRadial"/>
                <v:textbox>
                  <w:txbxContent>
                    <w:p w14:paraId="5894728C" w14:textId="7B17110F" w:rsidR="005735ED" w:rsidRPr="00B73631" w:rsidRDefault="005735ED" w:rsidP="0047628C">
                      <w:pPr>
                        <w:jc w:val="both"/>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sidRPr="00B73631">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xml:space="preserve">GCSA </w:t>
                      </w:r>
                      <w:r>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Workbook</w:t>
                      </w:r>
                    </w:p>
                    <w:p w14:paraId="51FB3CE6" w14:textId="77777777" w:rsidR="005735ED" w:rsidRPr="00E81456" w:rsidRDefault="005735ED" w:rsidP="0047628C">
                      <w:pPr>
                        <w:pStyle w:val="Footer"/>
                        <w:jc w:val="both"/>
                        <w:rPr>
                          <w:bCs/>
                          <w:i/>
                          <w:iCs/>
                          <w:noProof/>
                          <w:color w:val="FFFFFF" w:themeColor="background1"/>
                          <w:spacing w:val="60"/>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sidRPr="00E81456">
                        <w:rPr>
                          <w:i/>
                          <w:iCs/>
                          <w:noProof/>
                          <w:color w:val="FFFFFF" w:themeColor="background1"/>
                          <w:spacing w:val="60"/>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Prepared by INCOG</w:t>
                      </w:r>
                    </w:p>
                    <w:p w14:paraId="2E5C2DCE" w14:textId="334B3D8B" w:rsidR="005735ED" w:rsidRPr="002B7B76" w:rsidRDefault="00E43B05" w:rsidP="0047628C">
                      <w:pPr>
                        <w:pStyle w:val="Footer"/>
                        <w:spacing w:before="240"/>
                        <w:jc w:val="both"/>
                        <w:rPr>
                          <w:bCs/>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January</w:t>
                      </w:r>
                      <w:r w:rsidR="005735ED">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xml:space="preserve"> </w:t>
                      </w:r>
                      <w:r w:rsidR="005735ED" w:rsidRPr="002B7B76">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202</w:t>
                      </w:r>
                      <w:r>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1</w:t>
                      </w:r>
                      <w:r w:rsidR="005735ED" w:rsidRPr="002B7B76">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v1</w:t>
                      </w:r>
                    </w:p>
                    <w:p w14:paraId="2156010B" w14:textId="77777777" w:rsidR="005735ED" w:rsidRDefault="005735ED" w:rsidP="0047628C">
                      <w:pPr>
                        <w:jc w:val="both"/>
                        <w:rPr>
                          <w:b/>
                          <w:noProof/>
                          <w:color w:val="FFFFFF" w:themeColor="background1"/>
                          <w:spacing w:val="60"/>
                          <w:sz w:val="68"/>
                          <w:szCs w:val="6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7B72C83A" w14:textId="77777777" w:rsidR="005735ED" w:rsidRDefault="005735ED" w:rsidP="0047628C">
                      <w:pPr>
                        <w:pStyle w:val="Footer"/>
                        <w:widowControl w:val="0"/>
                        <w:tabs>
                          <w:tab w:val="clear" w:pos="4680"/>
                          <w:tab w:val="clear" w:pos="9360"/>
                          <w:tab w:val="right" w:pos="11430"/>
                        </w:tabs>
                        <w:rPr>
                          <w:b/>
                          <w:noProof/>
                          <w:color w:val="FFFFFF" w:themeColor="background1"/>
                          <w:spacing w:val="60"/>
                          <w:sz w:val="60"/>
                          <w:szCs w:val="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b/>
                          <w:noProof/>
                          <w:color w:val="FFFFFF" w:themeColor="background1"/>
                          <w:spacing w:val="60"/>
                          <w:sz w:val="60"/>
                          <w:szCs w:val="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ab/>
                      </w:r>
                    </w:p>
                    <w:p w14:paraId="7D7852FA" w14:textId="77777777" w:rsidR="005735ED" w:rsidRDefault="005735ED" w:rsidP="0047628C"/>
                  </w:txbxContent>
                </v:textbox>
                <w10:wrap anchorx="margin"/>
              </v:shape>
            </w:pict>
          </mc:Fallback>
        </mc:AlternateContent>
      </w:r>
    </w:p>
    <w:p w14:paraId="6BE16AB8" w14:textId="41AE378B" w:rsidR="0047628C" w:rsidRDefault="0047628C" w:rsidP="00EC1437">
      <w:pPr>
        <w:jc w:val="center"/>
        <w:rPr>
          <w:b/>
          <w:bCs/>
          <w:color w:val="1F3864" w:themeColor="accent1" w:themeShade="80"/>
          <w:spacing w:val="20"/>
          <w:sz w:val="32"/>
          <w:szCs w:val="32"/>
        </w:rPr>
      </w:pPr>
    </w:p>
    <w:p w14:paraId="2ED758D7" w14:textId="043E9336" w:rsidR="0047628C" w:rsidRDefault="0047628C" w:rsidP="00EC1437">
      <w:pPr>
        <w:jc w:val="center"/>
        <w:rPr>
          <w:b/>
          <w:bCs/>
          <w:color w:val="1F3864" w:themeColor="accent1" w:themeShade="80"/>
          <w:spacing w:val="20"/>
          <w:sz w:val="32"/>
          <w:szCs w:val="32"/>
        </w:rPr>
      </w:pPr>
    </w:p>
    <w:p w14:paraId="5F79AAC3" w14:textId="691FC4BC" w:rsidR="0047628C" w:rsidRDefault="0047628C" w:rsidP="00EC1437">
      <w:pPr>
        <w:jc w:val="center"/>
        <w:rPr>
          <w:b/>
          <w:bCs/>
          <w:color w:val="1F3864" w:themeColor="accent1" w:themeShade="80"/>
          <w:spacing w:val="20"/>
          <w:sz w:val="32"/>
          <w:szCs w:val="32"/>
        </w:rPr>
      </w:pPr>
    </w:p>
    <w:p w14:paraId="1432219F" w14:textId="5212AE10" w:rsidR="00B732E8" w:rsidRPr="0077235D" w:rsidRDefault="00B732E8" w:rsidP="00EC1437">
      <w:pPr>
        <w:jc w:val="center"/>
        <w:rPr>
          <w:b/>
          <w:bCs/>
          <w:color w:val="1F3864" w:themeColor="accent1" w:themeShade="80"/>
          <w:spacing w:val="20"/>
          <w:sz w:val="32"/>
          <w:szCs w:val="32"/>
        </w:rPr>
      </w:pPr>
      <w:r w:rsidRPr="0077235D">
        <w:rPr>
          <w:b/>
          <w:bCs/>
          <w:color w:val="1F3864" w:themeColor="accent1" w:themeShade="80"/>
          <w:spacing w:val="20"/>
          <w:sz w:val="32"/>
          <w:szCs w:val="32"/>
        </w:rPr>
        <w:t xml:space="preserve">GCSA </w:t>
      </w:r>
      <w:r w:rsidR="00132D31" w:rsidRPr="0077235D">
        <w:rPr>
          <w:b/>
          <w:bCs/>
          <w:color w:val="1F3864" w:themeColor="accent1" w:themeShade="80"/>
          <w:spacing w:val="20"/>
          <w:sz w:val="32"/>
          <w:szCs w:val="32"/>
        </w:rPr>
        <w:t xml:space="preserve">EMPLOYEE </w:t>
      </w:r>
      <w:r w:rsidRPr="0077235D">
        <w:rPr>
          <w:b/>
          <w:bCs/>
          <w:color w:val="1F3864" w:themeColor="accent1" w:themeShade="80"/>
          <w:spacing w:val="20"/>
          <w:sz w:val="32"/>
          <w:szCs w:val="32"/>
        </w:rPr>
        <w:t xml:space="preserve">TRAINING </w:t>
      </w:r>
      <w:r w:rsidR="00DF38F8">
        <w:rPr>
          <w:b/>
          <w:bCs/>
          <w:color w:val="1F3864" w:themeColor="accent1" w:themeShade="80"/>
          <w:spacing w:val="20"/>
          <w:sz w:val="32"/>
          <w:szCs w:val="32"/>
        </w:rPr>
        <w:t>ON STORMWATER 101</w:t>
      </w:r>
      <w:r w:rsidR="006064EA">
        <w:rPr>
          <w:b/>
          <w:bCs/>
          <w:color w:val="1F3864" w:themeColor="accent1" w:themeShade="80"/>
          <w:spacing w:val="20"/>
          <w:sz w:val="32"/>
          <w:szCs w:val="32"/>
        </w:rPr>
        <w:t xml:space="preserve"> </w:t>
      </w:r>
    </w:p>
    <w:p w14:paraId="5B4234CF" w14:textId="0E7EF018" w:rsidR="003E5CBB" w:rsidRPr="00890187" w:rsidRDefault="00DF38F8" w:rsidP="00EC1437">
      <w:pPr>
        <w:jc w:val="center"/>
        <w:rPr>
          <w:b/>
          <w:bCs/>
          <w:color w:val="1F3864" w:themeColor="accent1" w:themeShade="80"/>
          <w:spacing w:val="20"/>
          <w:sz w:val="32"/>
          <w:szCs w:val="32"/>
        </w:rPr>
      </w:pPr>
      <w:r>
        <w:rPr>
          <w:b/>
          <w:bCs/>
          <w:color w:val="1F3864" w:themeColor="accent1" w:themeShade="80"/>
          <w:spacing w:val="20"/>
          <w:sz w:val="32"/>
          <w:szCs w:val="32"/>
        </w:rPr>
        <w:t xml:space="preserve">Part </w:t>
      </w:r>
      <w:r w:rsidR="00331DC6">
        <w:rPr>
          <w:b/>
          <w:bCs/>
          <w:color w:val="1F3864" w:themeColor="accent1" w:themeShade="80"/>
          <w:spacing w:val="20"/>
          <w:sz w:val="32"/>
          <w:szCs w:val="32"/>
        </w:rPr>
        <w:t>4</w:t>
      </w:r>
      <w:r>
        <w:rPr>
          <w:b/>
          <w:bCs/>
          <w:color w:val="1F3864" w:themeColor="accent1" w:themeShade="80"/>
          <w:spacing w:val="20"/>
          <w:sz w:val="32"/>
          <w:szCs w:val="32"/>
        </w:rPr>
        <w:t xml:space="preserve">: </w:t>
      </w:r>
      <w:r w:rsidR="00331DC6">
        <w:rPr>
          <w:b/>
          <w:bCs/>
          <w:color w:val="1F3864" w:themeColor="accent1" w:themeShade="80"/>
          <w:spacing w:val="20"/>
          <w:sz w:val="32"/>
          <w:szCs w:val="32"/>
        </w:rPr>
        <w:t>303(d), TMDLs, ARC and ORW</w:t>
      </w:r>
      <w:r w:rsidR="0066449E">
        <w:rPr>
          <w:b/>
          <w:bCs/>
          <w:color w:val="1F3864" w:themeColor="accent1" w:themeShade="80"/>
          <w:spacing w:val="20"/>
          <w:sz w:val="32"/>
          <w:szCs w:val="32"/>
        </w:rPr>
        <w:t xml:space="preserve"> in </w:t>
      </w:r>
      <w:r w:rsidR="00587BBC">
        <w:rPr>
          <w:b/>
          <w:bCs/>
          <w:color w:val="1F3864" w:themeColor="accent1" w:themeShade="80"/>
          <w:spacing w:val="20"/>
          <w:sz w:val="32"/>
          <w:szCs w:val="32"/>
        </w:rPr>
        <w:t xml:space="preserve">OKR04 </w:t>
      </w:r>
    </w:p>
    <w:p w14:paraId="1D045A35" w14:textId="6749F0F5" w:rsidR="00B732E8" w:rsidRPr="00890187" w:rsidRDefault="00B732E8" w:rsidP="00EC1437">
      <w:pPr>
        <w:jc w:val="center"/>
        <w:rPr>
          <w:color w:val="1F3864" w:themeColor="accent1" w:themeShade="80"/>
          <w:spacing w:val="20"/>
        </w:rPr>
      </w:pPr>
      <w:r w:rsidRPr="00890187">
        <w:rPr>
          <w:color w:val="1F3864" w:themeColor="accent1" w:themeShade="80"/>
          <w:spacing w:val="20"/>
        </w:rPr>
        <w:t xml:space="preserve">Prepared by INCOG, </w:t>
      </w:r>
      <w:r w:rsidR="00E43B05">
        <w:rPr>
          <w:color w:val="1F3864" w:themeColor="accent1" w:themeShade="80"/>
          <w:spacing w:val="20"/>
        </w:rPr>
        <w:t>January</w:t>
      </w:r>
      <w:r w:rsidRPr="00890187">
        <w:rPr>
          <w:color w:val="1F3864" w:themeColor="accent1" w:themeShade="80"/>
          <w:spacing w:val="20"/>
        </w:rPr>
        <w:t xml:space="preserve"> 20</w:t>
      </w:r>
      <w:r w:rsidR="008F2B2C">
        <w:rPr>
          <w:color w:val="1F3864" w:themeColor="accent1" w:themeShade="80"/>
          <w:spacing w:val="20"/>
        </w:rPr>
        <w:t>2</w:t>
      </w:r>
      <w:r w:rsidR="00E43B05">
        <w:rPr>
          <w:color w:val="1F3864" w:themeColor="accent1" w:themeShade="80"/>
          <w:spacing w:val="20"/>
        </w:rPr>
        <w:t>1</w:t>
      </w:r>
    </w:p>
    <w:p w14:paraId="44A6452D" w14:textId="6B59ED6A" w:rsidR="00132D31" w:rsidRPr="00890187" w:rsidRDefault="00132D31" w:rsidP="005B2EFF">
      <w:pPr>
        <w:spacing w:before="240" w:line="300" w:lineRule="atLeast"/>
        <w:jc w:val="both"/>
        <w:rPr>
          <w:color w:val="1F3864" w:themeColor="accent1" w:themeShade="80"/>
          <w:spacing w:val="20"/>
        </w:rPr>
      </w:pPr>
      <w:r w:rsidRPr="00890187">
        <w:rPr>
          <w:color w:val="1F3864" w:themeColor="accent1" w:themeShade="80"/>
          <w:spacing w:val="20"/>
        </w:rPr>
        <w:t xml:space="preserve">The following information contains PowerPoint slides with associated discussion of each topic. This is the </w:t>
      </w:r>
      <w:r w:rsidR="00331DC6">
        <w:rPr>
          <w:color w:val="1F3864" w:themeColor="accent1" w:themeShade="80"/>
          <w:spacing w:val="20"/>
        </w:rPr>
        <w:t>last</w:t>
      </w:r>
      <w:r w:rsidR="0066449E">
        <w:rPr>
          <w:color w:val="1F3864" w:themeColor="accent1" w:themeShade="80"/>
          <w:spacing w:val="20"/>
        </w:rPr>
        <w:t xml:space="preserve"> </w:t>
      </w:r>
      <w:r w:rsidRPr="00890187">
        <w:rPr>
          <w:color w:val="1F3864" w:themeColor="accent1" w:themeShade="80"/>
          <w:spacing w:val="20"/>
        </w:rPr>
        <w:t xml:space="preserve">of </w:t>
      </w:r>
      <w:r w:rsidR="00331DC6">
        <w:rPr>
          <w:color w:val="1F3864" w:themeColor="accent1" w:themeShade="80"/>
          <w:spacing w:val="20"/>
        </w:rPr>
        <w:t>4</w:t>
      </w:r>
      <w:r w:rsidRPr="00890187">
        <w:rPr>
          <w:color w:val="1F3864" w:themeColor="accent1" w:themeShade="80"/>
          <w:spacing w:val="20"/>
        </w:rPr>
        <w:t xml:space="preserve"> Workbooks covering INCOG’s updated Stormwater 101 Education and Outreach for its GCSA Members.</w:t>
      </w:r>
      <w:r w:rsidR="00331DC6">
        <w:rPr>
          <w:color w:val="1F3864" w:themeColor="accent1" w:themeShade="80"/>
          <w:spacing w:val="20"/>
        </w:rPr>
        <w:t xml:space="preserve"> Five workbooks were planned, but subjects have been combined to 4 workbooks. </w:t>
      </w:r>
      <w:r w:rsidRPr="00890187">
        <w:rPr>
          <w:color w:val="1F3864" w:themeColor="accent1" w:themeShade="80"/>
          <w:spacing w:val="20"/>
        </w:rPr>
        <w:t xml:space="preserve">The material </w:t>
      </w:r>
      <w:r w:rsidR="00331DC6">
        <w:rPr>
          <w:color w:val="1F3864" w:themeColor="accent1" w:themeShade="80"/>
          <w:spacing w:val="20"/>
        </w:rPr>
        <w:t>will</w:t>
      </w:r>
      <w:r w:rsidRPr="00890187">
        <w:rPr>
          <w:color w:val="1F3864" w:themeColor="accent1" w:themeShade="80"/>
          <w:spacing w:val="20"/>
        </w:rPr>
        <w:t xml:space="preserve"> </w:t>
      </w:r>
      <w:r w:rsidR="008426DE">
        <w:rPr>
          <w:color w:val="1F3864" w:themeColor="accent1" w:themeShade="80"/>
          <w:spacing w:val="20"/>
        </w:rPr>
        <w:t xml:space="preserve">help </w:t>
      </w:r>
      <w:r w:rsidR="00331DC6">
        <w:rPr>
          <w:color w:val="1F3864" w:themeColor="accent1" w:themeShade="80"/>
          <w:spacing w:val="20"/>
        </w:rPr>
        <w:t xml:space="preserve">new staff, </w:t>
      </w:r>
      <w:r w:rsidRPr="00890187">
        <w:rPr>
          <w:color w:val="1F3864" w:themeColor="accent1" w:themeShade="80"/>
          <w:spacing w:val="20"/>
        </w:rPr>
        <w:t>city management and elected officials</w:t>
      </w:r>
      <w:r w:rsidR="008426DE">
        <w:rPr>
          <w:color w:val="1F3864" w:themeColor="accent1" w:themeShade="80"/>
          <w:spacing w:val="20"/>
        </w:rPr>
        <w:t xml:space="preserve"> understand th</w:t>
      </w:r>
      <w:r w:rsidR="00331DC6">
        <w:rPr>
          <w:color w:val="1F3864" w:themeColor="accent1" w:themeShade="80"/>
          <w:spacing w:val="20"/>
        </w:rPr>
        <w:t>e</w:t>
      </w:r>
      <w:r w:rsidR="008426DE">
        <w:rPr>
          <w:color w:val="1F3864" w:themeColor="accent1" w:themeShade="80"/>
          <w:spacing w:val="20"/>
        </w:rPr>
        <w:t xml:space="preserve"> </w:t>
      </w:r>
      <w:r w:rsidR="00331DC6">
        <w:rPr>
          <w:color w:val="1F3864" w:themeColor="accent1" w:themeShade="80"/>
          <w:spacing w:val="20"/>
        </w:rPr>
        <w:t>OKR04</w:t>
      </w:r>
      <w:r w:rsidR="008426DE">
        <w:rPr>
          <w:color w:val="1F3864" w:themeColor="accent1" w:themeShade="80"/>
          <w:spacing w:val="20"/>
        </w:rPr>
        <w:t xml:space="preserve"> permit program</w:t>
      </w:r>
      <w:r w:rsidRPr="00890187">
        <w:rPr>
          <w:color w:val="1F3864" w:themeColor="accent1" w:themeShade="80"/>
          <w:spacing w:val="20"/>
        </w:rPr>
        <w:t xml:space="preserve">.   </w:t>
      </w:r>
    </w:p>
    <w:p w14:paraId="66E06166" w14:textId="7E6D5258" w:rsidR="005B2EFF" w:rsidRPr="007C2D0D" w:rsidRDefault="00E43B05" w:rsidP="005B2EFF">
      <w:pPr>
        <w:spacing w:before="240" w:line="300" w:lineRule="atLeast"/>
        <w:jc w:val="both"/>
        <w:rPr>
          <w:sz w:val="28"/>
          <w:szCs w:val="28"/>
        </w:rPr>
      </w:pPr>
      <w:r>
        <w:rPr>
          <w:noProof/>
        </w:rPr>
        <w:drawing>
          <wp:anchor distT="0" distB="0" distL="114300" distR="114300" simplePos="0" relativeHeight="251712512" behindDoc="0" locked="0" layoutInCell="1" allowOverlap="1" wp14:anchorId="26CA02F1" wp14:editId="250D989F">
            <wp:simplePos x="0" y="0"/>
            <wp:positionH relativeFrom="margin">
              <wp:align>right</wp:align>
            </wp:positionH>
            <wp:positionV relativeFrom="paragraph">
              <wp:posOffset>144145</wp:posOffset>
            </wp:positionV>
            <wp:extent cx="2600325" cy="1949450"/>
            <wp:effectExtent l="0" t="0" r="9525"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00325" cy="1949450"/>
                    </a:xfrm>
                    <a:prstGeom prst="rect">
                      <a:avLst/>
                    </a:prstGeom>
                  </pic:spPr>
                </pic:pic>
              </a:graphicData>
            </a:graphic>
            <wp14:sizeRelH relativeFrom="margin">
              <wp14:pctWidth>0</wp14:pctWidth>
            </wp14:sizeRelH>
            <wp14:sizeRelV relativeFrom="margin">
              <wp14:pctHeight>0</wp14:pctHeight>
            </wp14:sizeRelV>
          </wp:anchor>
        </w:drawing>
      </w:r>
      <w:r w:rsidR="00D63C85" w:rsidRPr="003E5CBB">
        <w:rPr>
          <w:b/>
          <w:bCs/>
          <w:sz w:val="28"/>
          <w:szCs w:val="28"/>
        </w:rPr>
        <w:t xml:space="preserve">SLIDE 1:  </w:t>
      </w:r>
      <w:r w:rsidR="00500CC4">
        <w:rPr>
          <w:sz w:val="28"/>
          <w:szCs w:val="28"/>
        </w:rPr>
        <w:t xml:space="preserve">Welcome to the </w:t>
      </w:r>
      <w:r w:rsidR="007C2D0D">
        <w:rPr>
          <w:sz w:val="28"/>
          <w:szCs w:val="28"/>
        </w:rPr>
        <w:t>last</w:t>
      </w:r>
      <w:r w:rsidR="004430DB">
        <w:rPr>
          <w:sz w:val="28"/>
          <w:szCs w:val="28"/>
        </w:rPr>
        <w:t xml:space="preserve"> </w:t>
      </w:r>
      <w:r w:rsidR="005B2EFF">
        <w:rPr>
          <w:sz w:val="28"/>
          <w:szCs w:val="28"/>
        </w:rPr>
        <w:t xml:space="preserve">of </w:t>
      </w:r>
      <w:r w:rsidR="007C2D0D">
        <w:rPr>
          <w:sz w:val="28"/>
          <w:szCs w:val="28"/>
        </w:rPr>
        <w:t>4</w:t>
      </w:r>
      <w:r w:rsidR="005B2EFF">
        <w:rPr>
          <w:sz w:val="28"/>
          <w:szCs w:val="28"/>
        </w:rPr>
        <w:t xml:space="preserve"> </w:t>
      </w:r>
      <w:r w:rsidR="00132D31">
        <w:rPr>
          <w:sz w:val="28"/>
          <w:szCs w:val="28"/>
        </w:rPr>
        <w:t>Workbooks</w:t>
      </w:r>
      <w:r w:rsidR="00500CC4">
        <w:rPr>
          <w:sz w:val="28"/>
          <w:szCs w:val="28"/>
        </w:rPr>
        <w:t xml:space="preserve"> </w:t>
      </w:r>
      <w:r w:rsidR="005B2EFF">
        <w:rPr>
          <w:sz w:val="28"/>
          <w:szCs w:val="28"/>
        </w:rPr>
        <w:t xml:space="preserve">addressing the basics of </w:t>
      </w:r>
      <w:r w:rsidR="00192A7D">
        <w:rPr>
          <w:sz w:val="28"/>
          <w:szCs w:val="28"/>
        </w:rPr>
        <w:t>s</w:t>
      </w:r>
      <w:r w:rsidR="005B2EFF">
        <w:rPr>
          <w:sz w:val="28"/>
          <w:szCs w:val="28"/>
        </w:rPr>
        <w:t>tormwater</w:t>
      </w:r>
      <w:r w:rsidR="008E680A" w:rsidRPr="008E680A">
        <w:rPr>
          <w:noProof/>
        </w:rPr>
        <w:t xml:space="preserve"> </w:t>
      </w:r>
      <w:r w:rsidR="005B2EFF">
        <w:rPr>
          <w:sz w:val="28"/>
          <w:szCs w:val="28"/>
        </w:rPr>
        <w:t xml:space="preserve"> </w:t>
      </w:r>
      <w:r w:rsidR="00192A7D">
        <w:rPr>
          <w:sz w:val="28"/>
          <w:szCs w:val="28"/>
        </w:rPr>
        <w:t>p</w:t>
      </w:r>
      <w:r w:rsidR="005B2EFF">
        <w:rPr>
          <w:sz w:val="28"/>
          <w:szCs w:val="28"/>
        </w:rPr>
        <w:t xml:space="preserve">ermitting in Oklahoma, including city </w:t>
      </w:r>
      <w:r w:rsidR="00192A7D">
        <w:rPr>
          <w:sz w:val="28"/>
          <w:szCs w:val="28"/>
        </w:rPr>
        <w:t>and</w:t>
      </w:r>
      <w:r w:rsidR="005B2EFF">
        <w:rPr>
          <w:sz w:val="28"/>
          <w:szCs w:val="28"/>
        </w:rPr>
        <w:t xml:space="preserve"> county requirements under your permit.</w:t>
      </w:r>
      <w:r w:rsidR="00F82B2F" w:rsidRPr="007C2D0D">
        <w:rPr>
          <w:sz w:val="28"/>
          <w:szCs w:val="28"/>
        </w:rPr>
        <w:t xml:space="preserve"> </w:t>
      </w:r>
    </w:p>
    <w:p w14:paraId="7C6E1045" w14:textId="53299CB3" w:rsidR="007C2D0D" w:rsidRPr="00587BBC" w:rsidRDefault="007C2D0D" w:rsidP="005B2EFF">
      <w:pPr>
        <w:spacing w:before="240" w:line="300" w:lineRule="atLeast"/>
        <w:jc w:val="both"/>
        <w:rPr>
          <w:sz w:val="28"/>
          <w:szCs w:val="28"/>
        </w:rPr>
      </w:pPr>
      <w:r w:rsidRPr="007C2D0D">
        <w:rPr>
          <w:sz w:val="28"/>
          <w:szCs w:val="28"/>
        </w:rPr>
        <w:t xml:space="preserve">Five Stormwater 101 Workbooks were planned, but </w:t>
      </w:r>
      <w:r>
        <w:rPr>
          <w:sz w:val="28"/>
          <w:szCs w:val="28"/>
        </w:rPr>
        <w:t>all topics of Workbook 5 have been incorporated into the first 4.</w:t>
      </w:r>
    </w:p>
    <w:p w14:paraId="5E842A78" w14:textId="7B13EA69" w:rsidR="00587BBC" w:rsidRDefault="00587BBC" w:rsidP="005B2EFF">
      <w:pPr>
        <w:spacing w:before="240" w:line="300" w:lineRule="atLeast"/>
        <w:jc w:val="both"/>
        <w:rPr>
          <w:sz w:val="28"/>
          <w:szCs w:val="28"/>
        </w:rPr>
      </w:pPr>
      <w:r w:rsidRPr="00587BBC">
        <w:rPr>
          <w:sz w:val="28"/>
          <w:szCs w:val="28"/>
        </w:rPr>
        <w:t xml:space="preserve">Part </w:t>
      </w:r>
      <w:r w:rsidR="007C2D0D">
        <w:rPr>
          <w:sz w:val="28"/>
          <w:szCs w:val="28"/>
        </w:rPr>
        <w:t>4</w:t>
      </w:r>
      <w:r>
        <w:rPr>
          <w:sz w:val="28"/>
          <w:szCs w:val="28"/>
        </w:rPr>
        <w:t xml:space="preserve"> </w:t>
      </w:r>
      <w:r w:rsidR="00DA37F2">
        <w:rPr>
          <w:sz w:val="28"/>
          <w:szCs w:val="28"/>
        </w:rPr>
        <w:t>cover</w:t>
      </w:r>
      <w:r w:rsidR="007C2D0D">
        <w:rPr>
          <w:sz w:val="28"/>
          <w:szCs w:val="28"/>
        </w:rPr>
        <w:t>s</w:t>
      </w:r>
      <w:r w:rsidR="00DA37F2">
        <w:rPr>
          <w:sz w:val="28"/>
          <w:szCs w:val="28"/>
        </w:rPr>
        <w:t xml:space="preserve"> </w:t>
      </w:r>
      <w:r w:rsidR="007C2D0D">
        <w:rPr>
          <w:sz w:val="28"/>
          <w:szCs w:val="28"/>
        </w:rPr>
        <w:t>what can be called “</w:t>
      </w:r>
      <w:r w:rsidR="007C7810">
        <w:rPr>
          <w:sz w:val="28"/>
          <w:szCs w:val="28"/>
        </w:rPr>
        <w:t>s</w:t>
      </w:r>
      <w:r w:rsidR="007C2D0D">
        <w:rPr>
          <w:sz w:val="28"/>
          <w:szCs w:val="28"/>
        </w:rPr>
        <w:t xml:space="preserve">ensitive </w:t>
      </w:r>
      <w:r w:rsidR="007C7810">
        <w:rPr>
          <w:sz w:val="28"/>
          <w:szCs w:val="28"/>
        </w:rPr>
        <w:t>w</w:t>
      </w:r>
      <w:r w:rsidR="007C2D0D">
        <w:rPr>
          <w:sz w:val="28"/>
          <w:szCs w:val="28"/>
        </w:rPr>
        <w:t xml:space="preserve">aters”, referred to </w:t>
      </w:r>
      <w:r w:rsidR="007C7810">
        <w:rPr>
          <w:sz w:val="28"/>
          <w:szCs w:val="28"/>
        </w:rPr>
        <w:t>as</w:t>
      </w:r>
      <w:r w:rsidR="007C2D0D">
        <w:rPr>
          <w:sz w:val="28"/>
          <w:szCs w:val="28"/>
        </w:rPr>
        <w:t xml:space="preserve"> “Special Conditions” </w:t>
      </w:r>
      <w:r w:rsidR="00DA37F2">
        <w:rPr>
          <w:sz w:val="28"/>
          <w:szCs w:val="28"/>
        </w:rPr>
        <w:t xml:space="preserve">in </w:t>
      </w:r>
      <w:r w:rsidR="007C7810">
        <w:rPr>
          <w:sz w:val="28"/>
          <w:szCs w:val="28"/>
        </w:rPr>
        <w:t xml:space="preserve">Part IV of the 2021 </w:t>
      </w:r>
      <w:r w:rsidR="00DA37F2">
        <w:rPr>
          <w:sz w:val="28"/>
          <w:szCs w:val="28"/>
        </w:rPr>
        <w:t xml:space="preserve">OKR04 permit. These </w:t>
      </w:r>
      <w:r w:rsidR="007C7810">
        <w:rPr>
          <w:sz w:val="28"/>
          <w:szCs w:val="28"/>
        </w:rPr>
        <w:t xml:space="preserve">are waterbodies that </w:t>
      </w:r>
      <w:r w:rsidR="00DA37F2">
        <w:rPr>
          <w:sz w:val="28"/>
          <w:szCs w:val="28"/>
        </w:rPr>
        <w:t xml:space="preserve">are </w:t>
      </w:r>
      <w:r w:rsidR="00E10D8A">
        <w:rPr>
          <w:sz w:val="28"/>
          <w:szCs w:val="28"/>
        </w:rPr>
        <w:t xml:space="preserve">303(d) impaired, </w:t>
      </w:r>
      <w:r w:rsidR="007C7810">
        <w:rPr>
          <w:sz w:val="28"/>
          <w:szCs w:val="28"/>
        </w:rPr>
        <w:t xml:space="preserve">have </w:t>
      </w:r>
      <w:r w:rsidR="00E10D8A">
        <w:rPr>
          <w:sz w:val="28"/>
          <w:szCs w:val="28"/>
        </w:rPr>
        <w:t xml:space="preserve">completed TMDLs, </w:t>
      </w:r>
      <w:r w:rsidR="007C7810">
        <w:rPr>
          <w:sz w:val="28"/>
          <w:szCs w:val="28"/>
        </w:rPr>
        <w:t xml:space="preserve">are </w:t>
      </w:r>
      <w:r w:rsidR="00E10D8A">
        <w:rPr>
          <w:sz w:val="28"/>
          <w:szCs w:val="28"/>
        </w:rPr>
        <w:t>identified as Aquatic Resources of Concern (</w:t>
      </w:r>
      <w:r w:rsidR="00E10D8A" w:rsidRPr="00144AFC">
        <w:rPr>
          <w:i/>
          <w:iCs/>
          <w:color w:val="833C0B" w:themeColor="accent2" w:themeShade="80"/>
          <w:sz w:val="28"/>
          <w:szCs w:val="28"/>
        </w:rPr>
        <w:t>ARC</w:t>
      </w:r>
      <w:r w:rsidR="00E10D8A">
        <w:rPr>
          <w:sz w:val="28"/>
          <w:szCs w:val="28"/>
        </w:rPr>
        <w:t xml:space="preserve">) </w:t>
      </w:r>
      <w:r w:rsidR="007C7810">
        <w:rPr>
          <w:sz w:val="28"/>
          <w:szCs w:val="28"/>
        </w:rPr>
        <w:t>and/or as</w:t>
      </w:r>
      <w:r w:rsidR="00E10D8A">
        <w:rPr>
          <w:sz w:val="28"/>
          <w:szCs w:val="28"/>
        </w:rPr>
        <w:t xml:space="preserve"> Outstanding Resource Waters (</w:t>
      </w:r>
      <w:r w:rsidR="00E10D8A" w:rsidRPr="00144AFC">
        <w:rPr>
          <w:i/>
          <w:iCs/>
          <w:color w:val="833C0B" w:themeColor="accent2" w:themeShade="80"/>
          <w:sz w:val="28"/>
          <w:szCs w:val="28"/>
        </w:rPr>
        <w:t>ORW</w:t>
      </w:r>
      <w:r w:rsidR="00E10D8A">
        <w:rPr>
          <w:sz w:val="28"/>
          <w:szCs w:val="28"/>
        </w:rPr>
        <w:t>)</w:t>
      </w:r>
      <w:r w:rsidR="00DA37F2">
        <w:rPr>
          <w:sz w:val="28"/>
          <w:szCs w:val="28"/>
        </w:rPr>
        <w:t xml:space="preserve">. </w:t>
      </w:r>
    </w:p>
    <w:p w14:paraId="65F73FE3" w14:textId="22B7E699" w:rsidR="00993D0B" w:rsidRDefault="00834D8D" w:rsidP="007C2D0D">
      <w:pPr>
        <w:spacing w:before="240" w:line="300" w:lineRule="atLeast"/>
        <w:jc w:val="both"/>
        <w:rPr>
          <w:sz w:val="28"/>
          <w:szCs w:val="28"/>
        </w:rPr>
      </w:pPr>
      <w:r w:rsidRPr="00834D8D">
        <w:rPr>
          <w:noProof/>
          <w:sz w:val="28"/>
          <w:szCs w:val="28"/>
        </w:rPr>
        <w:drawing>
          <wp:anchor distT="0" distB="0" distL="114300" distR="114300" simplePos="0" relativeHeight="251699200" behindDoc="0" locked="0" layoutInCell="1" allowOverlap="1" wp14:anchorId="6D83B762" wp14:editId="5E6F9791">
            <wp:simplePos x="0" y="0"/>
            <wp:positionH relativeFrom="margin">
              <wp:align>right</wp:align>
            </wp:positionH>
            <wp:positionV relativeFrom="paragraph">
              <wp:posOffset>166370</wp:posOffset>
            </wp:positionV>
            <wp:extent cx="3284220" cy="2461260"/>
            <wp:effectExtent l="19050" t="19050" r="11430" b="152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4220" cy="2461260"/>
                    </a:xfrm>
                    <a:prstGeom prst="rect">
                      <a:avLst/>
                    </a:prstGeom>
                    <a:ln>
                      <a:solidFill>
                        <a:schemeClr val="accent1"/>
                      </a:solidFill>
                    </a:ln>
                  </pic:spPr>
                </pic:pic>
              </a:graphicData>
            </a:graphic>
          </wp:anchor>
        </w:drawing>
      </w:r>
      <w:r w:rsidR="00AB7239" w:rsidRPr="003E5CBB">
        <w:rPr>
          <w:b/>
          <w:bCs/>
          <w:sz w:val="28"/>
          <w:szCs w:val="28"/>
        </w:rPr>
        <w:t xml:space="preserve">SLIDE </w:t>
      </w:r>
      <w:r w:rsidR="00AB7239">
        <w:rPr>
          <w:b/>
          <w:bCs/>
          <w:sz w:val="28"/>
          <w:szCs w:val="28"/>
        </w:rPr>
        <w:t>2</w:t>
      </w:r>
      <w:r w:rsidR="00AB7239" w:rsidRPr="003E5CBB">
        <w:rPr>
          <w:b/>
          <w:bCs/>
          <w:sz w:val="28"/>
          <w:szCs w:val="28"/>
        </w:rPr>
        <w:t xml:space="preserve">:  </w:t>
      </w:r>
      <w:r w:rsidR="007C7810">
        <w:rPr>
          <w:sz w:val="28"/>
          <w:szCs w:val="28"/>
        </w:rPr>
        <w:t>T</w:t>
      </w:r>
      <w:r w:rsidR="00BE67F7">
        <w:rPr>
          <w:sz w:val="28"/>
          <w:szCs w:val="28"/>
        </w:rPr>
        <w:t>he OKR04 permit program affects many important aspects of municipal operations.</w:t>
      </w:r>
    </w:p>
    <w:p w14:paraId="463AC6FF" w14:textId="5839B1A0" w:rsidR="00BE67F7" w:rsidRDefault="00BE67F7" w:rsidP="007C2D0D">
      <w:pPr>
        <w:spacing w:before="240" w:line="300" w:lineRule="atLeast"/>
        <w:jc w:val="both"/>
        <w:rPr>
          <w:sz w:val="28"/>
          <w:szCs w:val="28"/>
        </w:rPr>
      </w:pPr>
      <w:r>
        <w:rPr>
          <w:sz w:val="28"/>
          <w:szCs w:val="28"/>
        </w:rPr>
        <w:t>The local OKR04 Program Manager must have cooperation from many municipal departments, including Public Works, engineering, planning, legal and finance</w:t>
      </w:r>
      <w:r w:rsidR="007C7810">
        <w:rPr>
          <w:sz w:val="28"/>
          <w:szCs w:val="28"/>
        </w:rPr>
        <w:t xml:space="preserve"> as well as support from management and elected officials</w:t>
      </w:r>
      <w:r>
        <w:rPr>
          <w:sz w:val="28"/>
          <w:szCs w:val="28"/>
        </w:rPr>
        <w:t>.</w:t>
      </w:r>
    </w:p>
    <w:p w14:paraId="030C8A54" w14:textId="01BBA374" w:rsidR="00BE67F7" w:rsidRDefault="00834D8D" w:rsidP="007C2D0D">
      <w:pPr>
        <w:spacing w:before="240" w:line="300" w:lineRule="atLeast"/>
        <w:jc w:val="both"/>
        <w:rPr>
          <w:sz w:val="28"/>
          <w:szCs w:val="28"/>
        </w:rPr>
      </w:pPr>
      <w:r w:rsidRPr="00834D8D">
        <w:rPr>
          <w:noProof/>
          <w:sz w:val="28"/>
          <w:szCs w:val="28"/>
        </w:rPr>
        <w:lastRenderedPageBreak/>
        <w:drawing>
          <wp:anchor distT="0" distB="0" distL="114300" distR="114300" simplePos="0" relativeHeight="251700224" behindDoc="0" locked="0" layoutInCell="1" allowOverlap="1" wp14:anchorId="6D98B3B0" wp14:editId="390D40EE">
            <wp:simplePos x="0" y="0"/>
            <wp:positionH relativeFrom="margin">
              <wp:align>right</wp:align>
            </wp:positionH>
            <wp:positionV relativeFrom="paragraph">
              <wp:posOffset>637540</wp:posOffset>
            </wp:positionV>
            <wp:extent cx="3034030" cy="2303780"/>
            <wp:effectExtent l="19050" t="19050" r="13970" b="203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34030" cy="2303780"/>
                    </a:xfrm>
                    <a:prstGeom prst="rect">
                      <a:avLst/>
                    </a:prstGeom>
                    <a:ln>
                      <a:solidFill>
                        <a:schemeClr val="accent1"/>
                      </a:solidFill>
                    </a:ln>
                  </pic:spPr>
                </pic:pic>
              </a:graphicData>
            </a:graphic>
          </wp:anchor>
        </w:drawing>
      </w:r>
      <w:r w:rsidR="00BE67F7">
        <w:rPr>
          <w:sz w:val="28"/>
          <w:szCs w:val="28"/>
        </w:rPr>
        <w:t xml:space="preserve">City or county management and elected officials must be knowledgeable about the OKR04’s many requirements. </w:t>
      </w:r>
      <w:r w:rsidR="002C2673">
        <w:rPr>
          <w:sz w:val="28"/>
          <w:szCs w:val="28"/>
        </w:rPr>
        <w:t>It is they who must approve compliance strategies and fund program implementation needs.</w:t>
      </w:r>
    </w:p>
    <w:p w14:paraId="1D828B0D" w14:textId="0F652970" w:rsidR="002C2673" w:rsidRDefault="002C2673" w:rsidP="004473CA">
      <w:pPr>
        <w:spacing w:before="240" w:line="300" w:lineRule="atLeast"/>
        <w:jc w:val="both"/>
        <w:rPr>
          <w:sz w:val="28"/>
          <w:szCs w:val="28"/>
        </w:rPr>
      </w:pPr>
      <w:r w:rsidRPr="003E5CBB">
        <w:rPr>
          <w:b/>
          <w:bCs/>
          <w:sz w:val="28"/>
          <w:szCs w:val="28"/>
        </w:rPr>
        <w:t xml:space="preserve">SLIDE </w:t>
      </w:r>
      <w:r>
        <w:rPr>
          <w:b/>
          <w:bCs/>
          <w:sz w:val="28"/>
          <w:szCs w:val="28"/>
        </w:rPr>
        <w:t>3</w:t>
      </w:r>
      <w:r w:rsidRPr="003E5CBB">
        <w:rPr>
          <w:b/>
          <w:bCs/>
          <w:sz w:val="28"/>
          <w:szCs w:val="28"/>
        </w:rPr>
        <w:t xml:space="preserve">:  </w:t>
      </w:r>
      <w:r>
        <w:rPr>
          <w:sz w:val="28"/>
          <w:szCs w:val="28"/>
        </w:rPr>
        <w:t>There are 4 categories of Sensitive Waters addressed in OKR04: 303(d), TMDLs, ARC and ORW.</w:t>
      </w:r>
    </w:p>
    <w:p w14:paraId="0EA2F5A5" w14:textId="77777777" w:rsidR="00522F5B" w:rsidRDefault="002C2673" w:rsidP="004473CA">
      <w:pPr>
        <w:spacing w:before="240" w:line="300" w:lineRule="atLeast"/>
        <w:jc w:val="both"/>
        <w:rPr>
          <w:sz w:val="28"/>
          <w:szCs w:val="28"/>
        </w:rPr>
      </w:pPr>
      <w:r>
        <w:rPr>
          <w:sz w:val="28"/>
          <w:szCs w:val="28"/>
        </w:rPr>
        <w:t>303(d) is a section from the federal Clean Water Act that requires a report to Congress from each state biennially (every 2 years)</w:t>
      </w:r>
      <w:r w:rsidR="00522F5B">
        <w:rPr>
          <w:sz w:val="28"/>
          <w:szCs w:val="28"/>
        </w:rPr>
        <w:t xml:space="preserve"> listing all waterbodies determined to be impaired.</w:t>
      </w:r>
    </w:p>
    <w:p w14:paraId="7BA6C4FD" w14:textId="77777777" w:rsidR="00522F5B" w:rsidRDefault="00522F5B" w:rsidP="004473CA">
      <w:pPr>
        <w:spacing w:before="240" w:line="300" w:lineRule="atLeast"/>
        <w:jc w:val="both"/>
        <w:rPr>
          <w:sz w:val="28"/>
          <w:szCs w:val="28"/>
        </w:rPr>
      </w:pPr>
      <w:r w:rsidRPr="00144AFC">
        <w:rPr>
          <w:i/>
          <w:iCs/>
          <w:color w:val="833C0B" w:themeColor="accent2" w:themeShade="80"/>
          <w:sz w:val="28"/>
          <w:szCs w:val="28"/>
        </w:rPr>
        <w:t>TMDLs</w:t>
      </w:r>
      <w:r>
        <w:rPr>
          <w:sz w:val="28"/>
          <w:szCs w:val="28"/>
        </w:rPr>
        <w:t xml:space="preserve"> are a special type of pollutant control study called a Total Maximum Daily Load usually performed on 303(d) listed waterbodies.</w:t>
      </w:r>
    </w:p>
    <w:p w14:paraId="39E75EB3" w14:textId="77777777" w:rsidR="00522F5B" w:rsidRDefault="00522F5B" w:rsidP="004473CA">
      <w:pPr>
        <w:spacing w:before="240" w:line="300" w:lineRule="atLeast"/>
        <w:jc w:val="both"/>
        <w:rPr>
          <w:sz w:val="28"/>
          <w:szCs w:val="28"/>
        </w:rPr>
      </w:pPr>
      <w:r>
        <w:rPr>
          <w:sz w:val="28"/>
          <w:szCs w:val="28"/>
        </w:rPr>
        <w:t>ARC (Aquatic Resources of Concern) are designated waterbodies or watersheds in Oklahoma needing special protections for endangered or threatened species and their critical habitat.</w:t>
      </w:r>
    </w:p>
    <w:p w14:paraId="0A631740" w14:textId="07EF04C2" w:rsidR="00993D0B" w:rsidRDefault="00522F5B" w:rsidP="004473CA">
      <w:pPr>
        <w:spacing w:before="240" w:line="300" w:lineRule="atLeast"/>
        <w:jc w:val="both"/>
        <w:rPr>
          <w:noProof/>
        </w:rPr>
      </w:pPr>
      <w:r>
        <w:rPr>
          <w:sz w:val="28"/>
          <w:szCs w:val="28"/>
        </w:rPr>
        <w:t>ORW (Outstanding Resource Waters) are defined in Oklahoma’s Water Quality Standards (</w:t>
      </w:r>
      <w:r w:rsidRPr="00144AFC">
        <w:rPr>
          <w:i/>
          <w:iCs/>
          <w:color w:val="833C0B" w:themeColor="accent2" w:themeShade="80"/>
          <w:sz w:val="28"/>
          <w:szCs w:val="28"/>
        </w:rPr>
        <w:t>WQS</w:t>
      </w:r>
      <w:r>
        <w:rPr>
          <w:sz w:val="28"/>
          <w:szCs w:val="28"/>
        </w:rPr>
        <w:t>) as waterbodies of exceptional high quality needing special protections.</w:t>
      </w:r>
      <w:r w:rsidR="002C2673" w:rsidRPr="002C2673">
        <w:rPr>
          <w:noProof/>
        </w:rPr>
        <w:t xml:space="preserve"> </w:t>
      </w:r>
    </w:p>
    <w:p w14:paraId="09B9989F" w14:textId="58CDA6FF" w:rsidR="00522F5B" w:rsidRDefault="00522F5B" w:rsidP="004473CA">
      <w:pPr>
        <w:spacing w:before="240" w:line="300" w:lineRule="atLeast"/>
        <w:jc w:val="both"/>
        <w:rPr>
          <w:sz w:val="28"/>
          <w:szCs w:val="28"/>
        </w:rPr>
      </w:pPr>
      <w:r w:rsidRPr="00522F5B">
        <w:rPr>
          <w:noProof/>
          <w:sz w:val="28"/>
          <w:szCs w:val="28"/>
        </w:rPr>
        <w:drawing>
          <wp:anchor distT="0" distB="0" distL="114300" distR="114300" simplePos="0" relativeHeight="251680768" behindDoc="0" locked="0" layoutInCell="1" allowOverlap="1" wp14:anchorId="37ED87D7" wp14:editId="7A6B1979">
            <wp:simplePos x="0" y="0"/>
            <wp:positionH relativeFrom="margin">
              <wp:align>right</wp:align>
            </wp:positionH>
            <wp:positionV relativeFrom="paragraph">
              <wp:posOffset>209550</wp:posOffset>
            </wp:positionV>
            <wp:extent cx="3162300" cy="2371725"/>
            <wp:effectExtent l="19050" t="19050" r="19050" b="285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62300" cy="23717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3E5CBB">
        <w:rPr>
          <w:b/>
          <w:bCs/>
          <w:sz w:val="28"/>
          <w:szCs w:val="28"/>
        </w:rPr>
        <w:t xml:space="preserve">SLIDE </w:t>
      </w:r>
      <w:r>
        <w:rPr>
          <w:b/>
          <w:bCs/>
          <w:sz w:val="28"/>
          <w:szCs w:val="28"/>
        </w:rPr>
        <w:t>4</w:t>
      </w:r>
      <w:r w:rsidRPr="003E5CBB">
        <w:rPr>
          <w:b/>
          <w:bCs/>
          <w:sz w:val="28"/>
          <w:szCs w:val="28"/>
        </w:rPr>
        <w:t xml:space="preserve">:  </w:t>
      </w:r>
      <w:r>
        <w:rPr>
          <w:sz w:val="28"/>
          <w:szCs w:val="28"/>
        </w:rPr>
        <w:t>Oklahoma’s WQS are designed to protect how Oklahoma’s water resources are used. Categories of uses, called Beneficial Uses, include water supply, fish and wildlife propagation, recreation, agriculture, aesthetics, navigation and fish consumption.</w:t>
      </w:r>
    </w:p>
    <w:p w14:paraId="648C6AFD" w14:textId="1B65DE5E" w:rsidR="00522F5B" w:rsidRDefault="00522F5B" w:rsidP="004473CA">
      <w:pPr>
        <w:spacing w:before="240" w:line="300" w:lineRule="atLeast"/>
        <w:jc w:val="both"/>
        <w:rPr>
          <w:sz w:val="28"/>
          <w:szCs w:val="28"/>
        </w:rPr>
      </w:pPr>
      <w:r>
        <w:rPr>
          <w:sz w:val="28"/>
          <w:szCs w:val="28"/>
        </w:rPr>
        <w:t>Every water</w:t>
      </w:r>
      <w:r w:rsidR="005D701C">
        <w:rPr>
          <w:sz w:val="28"/>
          <w:szCs w:val="28"/>
        </w:rPr>
        <w:t>body in Oklahoma has Beneficial Uses assigned to it, depending upon how each waterbody is most likely to be used.</w:t>
      </w:r>
    </w:p>
    <w:p w14:paraId="2E1072C6" w14:textId="6F54E6BC" w:rsidR="005D701C" w:rsidRDefault="005D701C" w:rsidP="004473CA">
      <w:pPr>
        <w:spacing w:before="240" w:line="300" w:lineRule="atLeast"/>
        <w:jc w:val="both"/>
        <w:rPr>
          <w:sz w:val="28"/>
          <w:szCs w:val="28"/>
        </w:rPr>
      </w:pPr>
      <w:r>
        <w:rPr>
          <w:sz w:val="28"/>
          <w:szCs w:val="28"/>
        </w:rPr>
        <w:t xml:space="preserve">The WQS then assign numeric and non-numeric (“narrative”) </w:t>
      </w:r>
      <w:r w:rsidR="00144AFC">
        <w:rPr>
          <w:sz w:val="28"/>
          <w:szCs w:val="28"/>
        </w:rPr>
        <w:t>criteria</w:t>
      </w:r>
      <w:r>
        <w:rPr>
          <w:sz w:val="28"/>
          <w:szCs w:val="28"/>
        </w:rPr>
        <w:t xml:space="preserve"> to protect </w:t>
      </w:r>
      <w:r w:rsidR="00144AFC">
        <w:rPr>
          <w:sz w:val="28"/>
          <w:szCs w:val="28"/>
        </w:rPr>
        <w:t xml:space="preserve">each </w:t>
      </w:r>
      <w:r>
        <w:rPr>
          <w:sz w:val="28"/>
          <w:szCs w:val="28"/>
        </w:rPr>
        <w:t>Beneficial Use.</w:t>
      </w:r>
    </w:p>
    <w:p w14:paraId="3F4C519E" w14:textId="26244D3D" w:rsidR="005D701C" w:rsidRDefault="005D701C" w:rsidP="004473CA">
      <w:pPr>
        <w:spacing w:before="240" w:line="300" w:lineRule="atLeast"/>
        <w:jc w:val="both"/>
        <w:rPr>
          <w:sz w:val="28"/>
          <w:szCs w:val="28"/>
        </w:rPr>
      </w:pPr>
      <w:r>
        <w:rPr>
          <w:sz w:val="28"/>
          <w:szCs w:val="28"/>
        </w:rPr>
        <w:lastRenderedPageBreak/>
        <w:t xml:space="preserve">Discharge permits issued by DEQ </w:t>
      </w:r>
      <w:r w:rsidR="00144AFC">
        <w:rPr>
          <w:sz w:val="28"/>
          <w:szCs w:val="28"/>
        </w:rPr>
        <w:t>set</w:t>
      </w:r>
      <w:r>
        <w:rPr>
          <w:sz w:val="28"/>
          <w:szCs w:val="28"/>
        </w:rPr>
        <w:t xml:space="preserve"> limits on the amount of pollutants that can be discharged to protect the uses.</w:t>
      </w:r>
    </w:p>
    <w:p w14:paraId="738B4F67" w14:textId="77777777" w:rsidR="005D701C" w:rsidRDefault="005D701C" w:rsidP="004473CA">
      <w:pPr>
        <w:spacing w:before="240" w:line="300" w:lineRule="atLeast"/>
        <w:jc w:val="both"/>
        <w:rPr>
          <w:sz w:val="28"/>
          <w:szCs w:val="28"/>
        </w:rPr>
      </w:pPr>
      <w:r>
        <w:rPr>
          <w:sz w:val="28"/>
          <w:szCs w:val="28"/>
        </w:rPr>
        <w:t>Stormwater permits are just another kind of discharge permit. They are written to ensure that Oklahoma’s WQS and Beneficial Uses are protected.</w:t>
      </w:r>
    </w:p>
    <w:p w14:paraId="6063BBF9" w14:textId="44A21657" w:rsidR="005D701C" w:rsidRDefault="005D701C" w:rsidP="004473CA">
      <w:pPr>
        <w:spacing w:before="240" w:line="300" w:lineRule="atLeast"/>
        <w:jc w:val="both"/>
        <w:rPr>
          <w:sz w:val="28"/>
          <w:szCs w:val="28"/>
        </w:rPr>
      </w:pPr>
      <w:r w:rsidRPr="005D701C">
        <w:rPr>
          <w:noProof/>
          <w:sz w:val="28"/>
          <w:szCs w:val="28"/>
        </w:rPr>
        <w:drawing>
          <wp:anchor distT="0" distB="0" distL="114300" distR="114300" simplePos="0" relativeHeight="251681792" behindDoc="0" locked="0" layoutInCell="1" allowOverlap="1" wp14:anchorId="3BB679E4" wp14:editId="491EE7CF">
            <wp:simplePos x="0" y="0"/>
            <wp:positionH relativeFrom="margin">
              <wp:posOffset>3246755</wp:posOffset>
            </wp:positionH>
            <wp:positionV relativeFrom="paragraph">
              <wp:posOffset>173990</wp:posOffset>
            </wp:positionV>
            <wp:extent cx="3035300" cy="2276475"/>
            <wp:effectExtent l="19050" t="19050" r="12700" b="285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35300" cy="22764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3E5CBB">
        <w:rPr>
          <w:b/>
          <w:bCs/>
          <w:sz w:val="28"/>
          <w:szCs w:val="28"/>
        </w:rPr>
        <w:t xml:space="preserve">SLIDE </w:t>
      </w:r>
      <w:r>
        <w:rPr>
          <w:b/>
          <w:bCs/>
          <w:sz w:val="28"/>
          <w:szCs w:val="28"/>
        </w:rPr>
        <w:t>5</w:t>
      </w:r>
      <w:r w:rsidRPr="003E5CBB">
        <w:rPr>
          <w:b/>
          <w:bCs/>
          <w:sz w:val="28"/>
          <w:szCs w:val="28"/>
        </w:rPr>
        <w:t xml:space="preserve">:  </w:t>
      </w:r>
      <w:r w:rsidR="00B83608">
        <w:rPr>
          <w:sz w:val="28"/>
          <w:szCs w:val="28"/>
        </w:rPr>
        <w:t>T</w:t>
      </w:r>
      <w:r>
        <w:rPr>
          <w:sz w:val="28"/>
          <w:szCs w:val="28"/>
        </w:rPr>
        <w:t xml:space="preserve">he causes of </w:t>
      </w:r>
      <w:r w:rsidR="00B83608">
        <w:rPr>
          <w:sz w:val="28"/>
          <w:szCs w:val="28"/>
        </w:rPr>
        <w:t xml:space="preserve">303(d) </w:t>
      </w:r>
      <w:r>
        <w:rPr>
          <w:sz w:val="28"/>
          <w:szCs w:val="28"/>
        </w:rPr>
        <w:t xml:space="preserve">impairment </w:t>
      </w:r>
      <w:r w:rsidR="00B83608">
        <w:rPr>
          <w:sz w:val="28"/>
          <w:szCs w:val="28"/>
        </w:rPr>
        <w:t>can be from</w:t>
      </w:r>
      <w:r>
        <w:rPr>
          <w:sz w:val="28"/>
          <w:szCs w:val="28"/>
        </w:rPr>
        <w:t xml:space="preserve"> any type of pollutant, such as too little dissolved oxygen, nutrients that cause excess </w:t>
      </w:r>
      <w:r w:rsidR="00B83608">
        <w:rPr>
          <w:sz w:val="28"/>
          <w:szCs w:val="28"/>
        </w:rPr>
        <w:t xml:space="preserve">algae </w:t>
      </w:r>
      <w:r>
        <w:rPr>
          <w:sz w:val="28"/>
          <w:szCs w:val="28"/>
        </w:rPr>
        <w:t>growth, many types of toxic compounds and heavy metals, too much sediment, pathogenic bacteria, pH extremes, oil &amp; grease, and too much salt (dissolved solids).</w:t>
      </w:r>
    </w:p>
    <w:p w14:paraId="6C6F6DAB" w14:textId="7F34EA40" w:rsidR="005D701C" w:rsidRDefault="005D701C" w:rsidP="004473CA">
      <w:pPr>
        <w:spacing w:before="240" w:line="300" w:lineRule="atLeast"/>
        <w:jc w:val="both"/>
        <w:rPr>
          <w:sz w:val="28"/>
          <w:szCs w:val="28"/>
        </w:rPr>
      </w:pPr>
      <w:r>
        <w:rPr>
          <w:sz w:val="28"/>
          <w:szCs w:val="28"/>
        </w:rPr>
        <w:t xml:space="preserve">303(d) listings can </w:t>
      </w:r>
      <w:r w:rsidR="00B83608">
        <w:rPr>
          <w:sz w:val="28"/>
          <w:szCs w:val="28"/>
        </w:rPr>
        <w:t xml:space="preserve">also </w:t>
      </w:r>
      <w:r>
        <w:rPr>
          <w:sz w:val="28"/>
          <w:szCs w:val="28"/>
        </w:rPr>
        <w:t xml:space="preserve">be defined for waters having fish or macroinvertebrate communities that are </w:t>
      </w:r>
      <w:r w:rsidR="00B83608">
        <w:rPr>
          <w:sz w:val="28"/>
          <w:szCs w:val="28"/>
        </w:rPr>
        <w:t xml:space="preserve">too </w:t>
      </w:r>
      <w:r>
        <w:rPr>
          <w:sz w:val="28"/>
          <w:szCs w:val="28"/>
        </w:rPr>
        <w:t xml:space="preserve">stressed </w:t>
      </w:r>
      <w:r w:rsidR="00B83608">
        <w:rPr>
          <w:sz w:val="28"/>
          <w:szCs w:val="28"/>
        </w:rPr>
        <w:t>to support a healthy ecosystem.</w:t>
      </w:r>
    </w:p>
    <w:p w14:paraId="2A3B923D" w14:textId="77777777" w:rsidR="00E84159" w:rsidRDefault="00E84159" w:rsidP="004473CA">
      <w:pPr>
        <w:spacing w:before="240" w:line="300" w:lineRule="atLeast"/>
        <w:jc w:val="both"/>
        <w:rPr>
          <w:sz w:val="28"/>
          <w:szCs w:val="28"/>
        </w:rPr>
      </w:pPr>
      <w:r w:rsidRPr="00E84159">
        <w:rPr>
          <w:noProof/>
          <w:sz w:val="28"/>
          <w:szCs w:val="28"/>
        </w:rPr>
        <w:drawing>
          <wp:anchor distT="0" distB="0" distL="114300" distR="114300" simplePos="0" relativeHeight="251682816" behindDoc="0" locked="0" layoutInCell="1" allowOverlap="1" wp14:anchorId="11D5C7CB" wp14:editId="6884F88E">
            <wp:simplePos x="0" y="0"/>
            <wp:positionH relativeFrom="margin">
              <wp:posOffset>3199130</wp:posOffset>
            </wp:positionH>
            <wp:positionV relativeFrom="paragraph">
              <wp:posOffset>160655</wp:posOffset>
            </wp:positionV>
            <wp:extent cx="3111500" cy="23336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11500" cy="2333625"/>
                    </a:xfrm>
                    <a:prstGeom prst="rect">
                      <a:avLst/>
                    </a:prstGeom>
                  </pic:spPr>
                </pic:pic>
              </a:graphicData>
            </a:graphic>
            <wp14:sizeRelH relativeFrom="margin">
              <wp14:pctWidth>0</wp14:pctWidth>
            </wp14:sizeRelH>
            <wp14:sizeRelV relativeFrom="margin">
              <wp14:pctHeight>0</wp14:pctHeight>
            </wp14:sizeRelV>
          </wp:anchor>
        </w:drawing>
      </w:r>
      <w:r w:rsidR="00B83608" w:rsidRPr="003E5CBB">
        <w:rPr>
          <w:b/>
          <w:bCs/>
          <w:sz w:val="28"/>
          <w:szCs w:val="28"/>
        </w:rPr>
        <w:t xml:space="preserve">SLIDE </w:t>
      </w:r>
      <w:r w:rsidR="00B83608">
        <w:rPr>
          <w:b/>
          <w:bCs/>
          <w:sz w:val="28"/>
          <w:szCs w:val="28"/>
        </w:rPr>
        <w:t>6</w:t>
      </w:r>
      <w:r w:rsidR="00B83608" w:rsidRPr="003E5CBB">
        <w:rPr>
          <w:b/>
          <w:bCs/>
          <w:sz w:val="28"/>
          <w:szCs w:val="28"/>
        </w:rPr>
        <w:t xml:space="preserve">:  </w:t>
      </w:r>
      <w:r w:rsidR="00B83608">
        <w:rPr>
          <w:sz w:val="28"/>
          <w:szCs w:val="28"/>
        </w:rPr>
        <w:t>The</w:t>
      </w:r>
      <w:r w:rsidRPr="00E84159">
        <w:rPr>
          <w:sz w:val="28"/>
          <w:szCs w:val="28"/>
        </w:rPr>
        <w:t xml:space="preserve"> latest version of the </w:t>
      </w:r>
      <w:r>
        <w:rPr>
          <w:sz w:val="28"/>
          <w:szCs w:val="28"/>
        </w:rPr>
        <w:t>biennial 303(d) list was approved in May 2020. The list is actually Appendix C in Oklahoma’s more comprehensive “Integrated Report”.</w:t>
      </w:r>
    </w:p>
    <w:p w14:paraId="5DF762D1" w14:textId="3FF4DE70" w:rsidR="00522F5B" w:rsidRDefault="00E84159" w:rsidP="004473CA">
      <w:pPr>
        <w:spacing w:before="240" w:line="300" w:lineRule="atLeast"/>
        <w:jc w:val="both"/>
        <w:rPr>
          <w:sz w:val="28"/>
          <w:szCs w:val="28"/>
        </w:rPr>
      </w:pPr>
      <w:r>
        <w:rPr>
          <w:sz w:val="28"/>
          <w:szCs w:val="28"/>
        </w:rPr>
        <w:t xml:space="preserve">It takes about 2 years to update the 303(d) list. The list date reflects when the process began, not when it was completed. </w:t>
      </w:r>
      <w:r w:rsidRPr="00E84159">
        <w:rPr>
          <w:sz w:val="28"/>
          <w:szCs w:val="28"/>
        </w:rPr>
        <w:t xml:space="preserve"> </w:t>
      </w:r>
    </w:p>
    <w:p w14:paraId="30063A11" w14:textId="3EB3FEEF" w:rsidR="00E84159" w:rsidRDefault="00E84159" w:rsidP="004473CA">
      <w:pPr>
        <w:spacing w:before="240" w:line="300" w:lineRule="atLeast"/>
        <w:jc w:val="both"/>
        <w:rPr>
          <w:sz w:val="28"/>
          <w:szCs w:val="28"/>
        </w:rPr>
      </w:pPr>
      <w:r>
        <w:rPr>
          <w:sz w:val="28"/>
          <w:szCs w:val="28"/>
        </w:rPr>
        <w:t xml:space="preserve">Oklahoma </w:t>
      </w:r>
      <w:r w:rsidR="00504836">
        <w:rPr>
          <w:sz w:val="28"/>
          <w:szCs w:val="28"/>
        </w:rPr>
        <w:t>uses</w:t>
      </w:r>
      <w:r>
        <w:rPr>
          <w:sz w:val="28"/>
          <w:szCs w:val="28"/>
        </w:rPr>
        <w:t xml:space="preserve"> formal science-based procedures for making 303(d) impairment decisions. These are in Chapter 46 of the WQS</w:t>
      </w:r>
      <w:r w:rsidR="00504836">
        <w:rPr>
          <w:sz w:val="28"/>
          <w:szCs w:val="28"/>
        </w:rPr>
        <w:t>,</w:t>
      </w:r>
      <w:r>
        <w:rPr>
          <w:sz w:val="28"/>
          <w:szCs w:val="28"/>
        </w:rPr>
        <w:t xml:space="preserve"> and </w:t>
      </w:r>
      <w:r w:rsidR="00504836">
        <w:rPr>
          <w:sz w:val="28"/>
          <w:szCs w:val="28"/>
        </w:rPr>
        <w:t xml:space="preserve">they </w:t>
      </w:r>
      <w:r>
        <w:rPr>
          <w:sz w:val="28"/>
          <w:szCs w:val="28"/>
        </w:rPr>
        <w:t>use the numerical and narrative criteria in Chapter 45 of the WQS to assess Beneficial Use “attainment”.</w:t>
      </w:r>
    </w:p>
    <w:p w14:paraId="67278C5C" w14:textId="6C0C1D1F" w:rsidR="00E84159" w:rsidRDefault="00E84159" w:rsidP="004473CA">
      <w:pPr>
        <w:spacing w:before="240" w:line="300" w:lineRule="atLeast"/>
        <w:jc w:val="both"/>
        <w:rPr>
          <w:sz w:val="28"/>
          <w:szCs w:val="28"/>
        </w:rPr>
      </w:pPr>
      <w:r>
        <w:rPr>
          <w:sz w:val="28"/>
          <w:szCs w:val="28"/>
        </w:rPr>
        <w:t xml:space="preserve">Most waterbodies that remain on the list will have a TMDL study to set pollutant limits so that impairment status can be remedied. </w:t>
      </w:r>
      <w:r w:rsidR="00504836">
        <w:rPr>
          <w:sz w:val="28"/>
          <w:szCs w:val="28"/>
        </w:rPr>
        <w:t>A few waterbodies may have an alternative kind of study called a Watershed Based Plan. OKR04 requires that both TMDLs and Watershed Plans must be complied with by permitted MS4s.</w:t>
      </w:r>
      <w:r>
        <w:rPr>
          <w:sz w:val="28"/>
          <w:szCs w:val="28"/>
        </w:rPr>
        <w:t xml:space="preserve"> </w:t>
      </w:r>
    </w:p>
    <w:p w14:paraId="108FA8FE" w14:textId="72AA09FA" w:rsidR="00522F5B" w:rsidRDefault="008F5BDC" w:rsidP="004473CA">
      <w:pPr>
        <w:spacing w:before="240" w:line="300" w:lineRule="atLeast"/>
        <w:jc w:val="both"/>
        <w:rPr>
          <w:sz w:val="28"/>
          <w:szCs w:val="28"/>
        </w:rPr>
      </w:pPr>
      <w:r w:rsidRPr="002B07D4">
        <w:rPr>
          <w:noProof/>
          <w:sz w:val="28"/>
          <w:szCs w:val="28"/>
        </w:rPr>
        <w:lastRenderedPageBreak/>
        <w:drawing>
          <wp:anchor distT="0" distB="0" distL="114300" distR="114300" simplePos="0" relativeHeight="251684864" behindDoc="0" locked="0" layoutInCell="1" allowOverlap="1" wp14:anchorId="638EC3EC" wp14:editId="327B50DA">
            <wp:simplePos x="0" y="0"/>
            <wp:positionH relativeFrom="margin">
              <wp:posOffset>3005455</wp:posOffset>
            </wp:positionH>
            <wp:positionV relativeFrom="paragraph">
              <wp:posOffset>27940</wp:posOffset>
            </wp:positionV>
            <wp:extent cx="3276600" cy="2457450"/>
            <wp:effectExtent l="19050" t="19050" r="19050" b="190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76600" cy="24574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84159" w:rsidRPr="003E5CBB">
        <w:rPr>
          <w:b/>
          <w:bCs/>
          <w:sz w:val="28"/>
          <w:szCs w:val="28"/>
        </w:rPr>
        <w:t xml:space="preserve">SLIDE </w:t>
      </w:r>
      <w:r w:rsidR="00E84159">
        <w:rPr>
          <w:b/>
          <w:bCs/>
          <w:sz w:val="28"/>
          <w:szCs w:val="28"/>
        </w:rPr>
        <w:t>7</w:t>
      </w:r>
      <w:r w:rsidR="00E84159" w:rsidRPr="003E5CBB">
        <w:rPr>
          <w:b/>
          <w:bCs/>
          <w:sz w:val="28"/>
          <w:szCs w:val="28"/>
        </w:rPr>
        <w:t xml:space="preserve">:  </w:t>
      </w:r>
      <w:r w:rsidR="00E84159">
        <w:rPr>
          <w:sz w:val="28"/>
          <w:szCs w:val="28"/>
        </w:rPr>
        <w:t xml:space="preserve">DEQ updates its 303(d) database and GIS </w:t>
      </w:r>
      <w:r w:rsidR="00EC38B9">
        <w:rPr>
          <w:sz w:val="28"/>
          <w:szCs w:val="28"/>
        </w:rPr>
        <w:t xml:space="preserve">layers every 2 years so that listed waterbodies can be located. These can be found in the Integrated Report posted on the </w:t>
      </w:r>
      <w:hyperlink r:id="rId17" w:history="1">
        <w:r w:rsidR="00EC38B9" w:rsidRPr="00EC38B9">
          <w:rPr>
            <w:rStyle w:val="Hyperlink"/>
            <w:sz w:val="28"/>
            <w:szCs w:val="28"/>
          </w:rPr>
          <w:t>DEQ website</w:t>
        </w:r>
      </w:hyperlink>
      <w:r w:rsidR="00EC38B9">
        <w:rPr>
          <w:sz w:val="28"/>
          <w:szCs w:val="28"/>
        </w:rPr>
        <w:t xml:space="preserve">. </w:t>
      </w:r>
    </w:p>
    <w:p w14:paraId="3267C8AD" w14:textId="2AB4BC56" w:rsidR="00EC38B9" w:rsidRDefault="00EC38B9" w:rsidP="004473CA">
      <w:pPr>
        <w:spacing w:before="240" w:line="300" w:lineRule="atLeast"/>
        <w:jc w:val="both"/>
        <w:rPr>
          <w:sz w:val="28"/>
          <w:szCs w:val="28"/>
        </w:rPr>
      </w:pPr>
      <w:r>
        <w:rPr>
          <w:sz w:val="28"/>
          <w:szCs w:val="28"/>
        </w:rPr>
        <w:t xml:space="preserve">DEQ also updates its online </w:t>
      </w:r>
      <w:hyperlink r:id="rId18" w:history="1">
        <w:r w:rsidRPr="00EC38B9">
          <w:rPr>
            <w:rStyle w:val="Hyperlink"/>
            <w:sz w:val="28"/>
            <w:szCs w:val="28"/>
          </w:rPr>
          <w:t>interactive map website</w:t>
        </w:r>
      </w:hyperlink>
      <w:r>
        <w:rPr>
          <w:sz w:val="28"/>
          <w:szCs w:val="28"/>
        </w:rPr>
        <w:t xml:space="preserve"> that also has web pages for</w:t>
      </w:r>
      <w:r w:rsidR="002B07D4" w:rsidRPr="002B07D4">
        <w:rPr>
          <w:noProof/>
        </w:rPr>
        <w:t xml:space="preserve"> </w:t>
      </w:r>
      <w:r>
        <w:rPr>
          <w:sz w:val="28"/>
          <w:szCs w:val="28"/>
        </w:rPr>
        <w:t xml:space="preserve"> downloading water quality data and GIS layers.</w:t>
      </w:r>
    </w:p>
    <w:p w14:paraId="43C57006" w14:textId="0ED34F2F" w:rsidR="00EC38B9" w:rsidRDefault="00EC38B9" w:rsidP="004473CA">
      <w:pPr>
        <w:spacing w:before="240" w:line="300" w:lineRule="atLeast"/>
        <w:jc w:val="both"/>
        <w:rPr>
          <w:sz w:val="28"/>
          <w:szCs w:val="28"/>
        </w:rPr>
      </w:pPr>
      <w:r>
        <w:rPr>
          <w:sz w:val="28"/>
          <w:szCs w:val="28"/>
        </w:rPr>
        <w:t>Every GCSA Member has at least one 303(d) impaired waterbody within its MS4 area. The OKR04 permit has a number of requirements permittees must implement to reduce the “Pollutants of Concern” (</w:t>
      </w:r>
      <w:r w:rsidRPr="008F5BDC">
        <w:rPr>
          <w:i/>
          <w:iCs/>
          <w:color w:val="833C0B" w:themeColor="accent2" w:themeShade="80"/>
          <w:sz w:val="28"/>
          <w:szCs w:val="28"/>
        </w:rPr>
        <w:t>POCs</w:t>
      </w:r>
      <w:r>
        <w:rPr>
          <w:sz w:val="28"/>
          <w:szCs w:val="28"/>
        </w:rPr>
        <w:t>) that cause the impairment.</w:t>
      </w:r>
    </w:p>
    <w:p w14:paraId="5B918987" w14:textId="42960B2E" w:rsidR="00EC38B9" w:rsidRDefault="00EC38B9" w:rsidP="004473CA">
      <w:pPr>
        <w:spacing w:before="240" w:line="300" w:lineRule="atLeast"/>
        <w:jc w:val="both"/>
        <w:rPr>
          <w:sz w:val="28"/>
          <w:szCs w:val="28"/>
        </w:rPr>
      </w:pPr>
      <w:r>
        <w:rPr>
          <w:sz w:val="28"/>
          <w:szCs w:val="28"/>
        </w:rPr>
        <w:t xml:space="preserve">The OKR04 permit lists many of these requirements under “Special Conditions” which is Part III of the existing OKR04 and will be Part IV of the new </w:t>
      </w:r>
      <w:r w:rsidR="00C95044">
        <w:rPr>
          <w:sz w:val="28"/>
          <w:szCs w:val="28"/>
        </w:rPr>
        <w:t xml:space="preserve">2021 </w:t>
      </w:r>
      <w:r>
        <w:rPr>
          <w:sz w:val="28"/>
          <w:szCs w:val="28"/>
        </w:rPr>
        <w:t>OKR04</w:t>
      </w:r>
      <w:r w:rsidR="00C95044">
        <w:rPr>
          <w:sz w:val="28"/>
          <w:szCs w:val="28"/>
        </w:rPr>
        <w:t xml:space="preserve"> permit</w:t>
      </w:r>
      <w:r>
        <w:rPr>
          <w:sz w:val="28"/>
          <w:szCs w:val="28"/>
        </w:rPr>
        <w:t>.</w:t>
      </w:r>
    </w:p>
    <w:p w14:paraId="6CC9DD25" w14:textId="0198CEF4" w:rsidR="00522F5B" w:rsidRDefault="003A1F7F" w:rsidP="004473CA">
      <w:pPr>
        <w:spacing w:before="240" w:line="300" w:lineRule="atLeast"/>
        <w:jc w:val="both"/>
        <w:rPr>
          <w:sz w:val="28"/>
          <w:szCs w:val="28"/>
        </w:rPr>
      </w:pPr>
      <w:r w:rsidRPr="003A1F7F">
        <w:rPr>
          <w:noProof/>
          <w:sz w:val="28"/>
          <w:szCs w:val="28"/>
        </w:rPr>
        <w:drawing>
          <wp:anchor distT="0" distB="0" distL="114300" distR="114300" simplePos="0" relativeHeight="251683840" behindDoc="0" locked="0" layoutInCell="1" allowOverlap="1" wp14:anchorId="3C5906DC" wp14:editId="5CB898BB">
            <wp:simplePos x="0" y="0"/>
            <wp:positionH relativeFrom="margin">
              <wp:align>right</wp:align>
            </wp:positionH>
            <wp:positionV relativeFrom="paragraph">
              <wp:posOffset>185420</wp:posOffset>
            </wp:positionV>
            <wp:extent cx="3683000" cy="2762250"/>
            <wp:effectExtent l="19050" t="19050" r="12700" b="190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83000" cy="27622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3E5CBB">
        <w:rPr>
          <w:b/>
          <w:bCs/>
          <w:sz w:val="28"/>
          <w:szCs w:val="28"/>
        </w:rPr>
        <w:t xml:space="preserve">SLIDE </w:t>
      </w:r>
      <w:r>
        <w:rPr>
          <w:b/>
          <w:bCs/>
          <w:sz w:val="28"/>
          <w:szCs w:val="28"/>
        </w:rPr>
        <w:t>8</w:t>
      </w:r>
      <w:r w:rsidRPr="003E5CBB">
        <w:rPr>
          <w:b/>
          <w:bCs/>
          <w:sz w:val="28"/>
          <w:szCs w:val="28"/>
        </w:rPr>
        <w:t xml:space="preserve">:  </w:t>
      </w:r>
      <w:r w:rsidR="00722620">
        <w:rPr>
          <w:sz w:val="28"/>
          <w:szCs w:val="28"/>
        </w:rPr>
        <w:t>Two aspects of 303(d) listing can be problematic for MS4s.</w:t>
      </w:r>
    </w:p>
    <w:p w14:paraId="5E48244E" w14:textId="08B2444E" w:rsidR="00722620" w:rsidRDefault="00722620" w:rsidP="004473CA">
      <w:pPr>
        <w:spacing w:before="240" w:line="300" w:lineRule="atLeast"/>
        <w:jc w:val="both"/>
        <w:rPr>
          <w:sz w:val="28"/>
          <w:szCs w:val="28"/>
        </w:rPr>
      </w:pPr>
      <w:r>
        <w:rPr>
          <w:sz w:val="28"/>
          <w:szCs w:val="28"/>
        </w:rPr>
        <w:t xml:space="preserve">First, segmentation of streams is not uncommon. </w:t>
      </w:r>
      <w:r w:rsidR="00C95044">
        <w:rPr>
          <w:sz w:val="28"/>
          <w:szCs w:val="28"/>
        </w:rPr>
        <w:t>This is where</w:t>
      </w:r>
      <w:r>
        <w:rPr>
          <w:sz w:val="28"/>
          <w:szCs w:val="28"/>
        </w:rPr>
        <w:t xml:space="preserve"> a single 303(d) stream segment is split into 2 </w:t>
      </w:r>
      <w:r w:rsidR="00C95044">
        <w:rPr>
          <w:sz w:val="28"/>
          <w:szCs w:val="28"/>
        </w:rPr>
        <w:t xml:space="preserve">or more </w:t>
      </w:r>
      <w:r>
        <w:rPr>
          <w:sz w:val="28"/>
          <w:szCs w:val="28"/>
        </w:rPr>
        <w:t>segment</w:t>
      </w:r>
      <w:r w:rsidR="00C95044">
        <w:rPr>
          <w:sz w:val="28"/>
          <w:szCs w:val="28"/>
        </w:rPr>
        <w:t>s</w:t>
      </w:r>
      <w:r>
        <w:rPr>
          <w:sz w:val="28"/>
          <w:szCs w:val="28"/>
        </w:rPr>
        <w:t>. Each segment can be listed for its own set of impairment conditions.</w:t>
      </w:r>
    </w:p>
    <w:p w14:paraId="002D2875" w14:textId="35947162" w:rsidR="00722620" w:rsidRDefault="00722620" w:rsidP="004473CA">
      <w:pPr>
        <w:spacing w:before="240" w:line="300" w:lineRule="atLeast"/>
        <w:jc w:val="both"/>
        <w:rPr>
          <w:sz w:val="28"/>
          <w:szCs w:val="28"/>
        </w:rPr>
      </w:pPr>
      <w:r>
        <w:rPr>
          <w:sz w:val="28"/>
          <w:szCs w:val="28"/>
        </w:rPr>
        <w:t xml:space="preserve">Second, listed causes (POCs) </w:t>
      </w:r>
      <w:r w:rsidR="005237B7">
        <w:rPr>
          <w:sz w:val="28"/>
          <w:szCs w:val="28"/>
        </w:rPr>
        <w:t>ca</w:t>
      </w:r>
      <w:r>
        <w:rPr>
          <w:sz w:val="28"/>
          <w:szCs w:val="28"/>
        </w:rPr>
        <w:t>n change with each 2-year cycle. This can pose problems for MS4s that have pursued Best Management Practices (</w:t>
      </w:r>
      <w:r w:rsidRPr="00C95044">
        <w:rPr>
          <w:i/>
          <w:iCs/>
          <w:color w:val="833C0B" w:themeColor="accent2" w:themeShade="80"/>
          <w:sz w:val="28"/>
          <w:szCs w:val="28"/>
        </w:rPr>
        <w:t>BMPs</w:t>
      </w:r>
      <w:r>
        <w:rPr>
          <w:sz w:val="28"/>
          <w:szCs w:val="28"/>
        </w:rPr>
        <w:t>) to address, say bacteria pollution</w:t>
      </w:r>
      <w:r w:rsidR="00C95044">
        <w:rPr>
          <w:sz w:val="28"/>
          <w:szCs w:val="28"/>
        </w:rPr>
        <w:t>,</w:t>
      </w:r>
      <w:r>
        <w:rPr>
          <w:sz w:val="28"/>
          <w:szCs w:val="28"/>
        </w:rPr>
        <w:t xml:space="preserve"> only to have to change BMPs to address dissolved oxygen (DO) because the segment’s 303(d) impairment status changed from having bacteria to DO problems.</w:t>
      </w:r>
    </w:p>
    <w:p w14:paraId="7B3CCF5E" w14:textId="39C64ADB" w:rsidR="00722620" w:rsidRDefault="00722620" w:rsidP="004473CA">
      <w:pPr>
        <w:spacing w:before="240" w:line="300" w:lineRule="atLeast"/>
        <w:jc w:val="both"/>
        <w:rPr>
          <w:sz w:val="28"/>
          <w:szCs w:val="28"/>
        </w:rPr>
      </w:pPr>
      <w:r>
        <w:rPr>
          <w:sz w:val="28"/>
          <w:szCs w:val="28"/>
        </w:rPr>
        <w:t xml:space="preserve">This table shows how Arkansas River segments through the Tulsa metro area have changed over the past 20 years, both in segmentation and POCs. Fortunately these types of changes are </w:t>
      </w:r>
      <w:r w:rsidR="00C95044">
        <w:rPr>
          <w:sz w:val="28"/>
          <w:szCs w:val="28"/>
        </w:rPr>
        <w:t>happening less often</w:t>
      </w:r>
      <w:r>
        <w:rPr>
          <w:sz w:val="28"/>
          <w:szCs w:val="28"/>
        </w:rPr>
        <w:t xml:space="preserve"> than in the past.</w:t>
      </w:r>
    </w:p>
    <w:p w14:paraId="2FD0BEEF" w14:textId="36BA7E29" w:rsidR="00722620" w:rsidRDefault="00722620" w:rsidP="004473CA">
      <w:pPr>
        <w:spacing w:before="240" w:line="300" w:lineRule="atLeast"/>
        <w:jc w:val="both"/>
        <w:rPr>
          <w:sz w:val="28"/>
          <w:szCs w:val="28"/>
        </w:rPr>
      </w:pPr>
      <w:r>
        <w:rPr>
          <w:sz w:val="28"/>
          <w:szCs w:val="28"/>
        </w:rPr>
        <w:lastRenderedPageBreak/>
        <w:t xml:space="preserve">It is urgent that each permitted MS4 </w:t>
      </w:r>
      <w:r w:rsidR="007A364C">
        <w:rPr>
          <w:sz w:val="28"/>
          <w:szCs w:val="28"/>
        </w:rPr>
        <w:t>stay informed about 303(d) status of all waterbodies within their MS4. Once a list is superseded by a late</w:t>
      </w:r>
      <w:r w:rsidR="00F82ADD">
        <w:rPr>
          <w:sz w:val="28"/>
          <w:szCs w:val="28"/>
        </w:rPr>
        <w:t>r</w:t>
      </w:r>
      <w:r w:rsidR="007A364C">
        <w:rPr>
          <w:sz w:val="28"/>
          <w:szCs w:val="28"/>
        </w:rPr>
        <w:t xml:space="preserve"> version, the old list is no longer valid. Only the new 303(d) list affects permit compliance.</w:t>
      </w:r>
    </w:p>
    <w:p w14:paraId="681CA5A0" w14:textId="7523AFDB" w:rsidR="007A364C" w:rsidRDefault="00834D8D" w:rsidP="004473CA">
      <w:pPr>
        <w:spacing w:before="240" w:line="300" w:lineRule="atLeast"/>
        <w:jc w:val="both"/>
        <w:rPr>
          <w:sz w:val="28"/>
          <w:szCs w:val="28"/>
        </w:rPr>
      </w:pPr>
      <w:r w:rsidRPr="00834D8D">
        <w:rPr>
          <w:noProof/>
          <w:sz w:val="28"/>
          <w:szCs w:val="28"/>
        </w:rPr>
        <w:drawing>
          <wp:anchor distT="0" distB="0" distL="114300" distR="114300" simplePos="0" relativeHeight="251701248" behindDoc="0" locked="0" layoutInCell="1" allowOverlap="1" wp14:anchorId="477337A7" wp14:editId="2D35EBEE">
            <wp:simplePos x="0" y="0"/>
            <wp:positionH relativeFrom="margin">
              <wp:posOffset>2859405</wp:posOffset>
            </wp:positionH>
            <wp:positionV relativeFrom="paragraph">
              <wp:posOffset>24130</wp:posOffset>
            </wp:positionV>
            <wp:extent cx="3457575" cy="2695682"/>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57575" cy="2695682"/>
                    </a:xfrm>
                    <a:prstGeom prst="rect">
                      <a:avLst/>
                    </a:prstGeom>
                  </pic:spPr>
                </pic:pic>
              </a:graphicData>
            </a:graphic>
            <wp14:sizeRelH relativeFrom="margin">
              <wp14:pctWidth>0</wp14:pctWidth>
            </wp14:sizeRelH>
            <wp14:sizeRelV relativeFrom="margin">
              <wp14:pctHeight>0</wp14:pctHeight>
            </wp14:sizeRelV>
          </wp:anchor>
        </w:drawing>
      </w:r>
      <w:r w:rsidR="007A364C" w:rsidRPr="003E5CBB">
        <w:rPr>
          <w:b/>
          <w:bCs/>
          <w:sz w:val="28"/>
          <w:szCs w:val="28"/>
        </w:rPr>
        <w:t>SLIDE</w:t>
      </w:r>
      <w:r w:rsidR="00AC7ECB">
        <w:rPr>
          <w:b/>
          <w:bCs/>
          <w:sz w:val="28"/>
          <w:szCs w:val="28"/>
        </w:rPr>
        <w:t>S</w:t>
      </w:r>
      <w:r w:rsidR="007A364C" w:rsidRPr="003E5CBB">
        <w:rPr>
          <w:b/>
          <w:bCs/>
          <w:sz w:val="28"/>
          <w:szCs w:val="28"/>
        </w:rPr>
        <w:t xml:space="preserve"> </w:t>
      </w:r>
      <w:r w:rsidR="007A364C">
        <w:rPr>
          <w:b/>
          <w:bCs/>
          <w:sz w:val="28"/>
          <w:szCs w:val="28"/>
        </w:rPr>
        <w:t>9 &amp; 10</w:t>
      </w:r>
      <w:r w:rsidR="007A364C" w:rsidRPr="003E5CBB">
        <w:rPr>
          <w:b/>
          <w:bCs/>
          <w:sz w:val="28"/>
          <w:szCs w:val="28"/>
        </w:rPr>
        <w:t xml:space="preserve">:  </w:t>
      </w:r>
      <w:r w:rsidR="007A364C">
        <w:rPr>
          <w:sz w:val="28"/>
          <w:szCs w:val="28"/>
        </w:rPr>
        <w:t>These 2 PowerPoint slides list the 20</w:t>
      </w:r>
      <w:r w:rsidR="00F82ADD">
        <w:rPr>
          <w:sz w:val="28"/>
          <w:szCs w:val="28"/>
        </w:rPr>
        <w:t>2</w:t>
      </w:r>
      <w:r w:rsidR="007A364C">
        <w:rPr>
          <w:sz w:val="28"/>
          <w:szCs w:val="28"/>
        </w:rPr>
        <w:t>1 OKR04 text that require</w:t>
      </w:r>
      <w:r w:rsidR="00F82ADD">
        <w:rPr>
          <w:sz w:val="28"/>
          <w:szCs w:val="28"/>
        </w:rPr>
        <w:t>s</w:t>
      </w:r>
      <w:r w:rsidR="007A364C">
        <w:rPr>
          <w:sz w:val="28"/>
          <w:szCs w:val="28"/>
        </w:rPr>
        <w:t xml:space="preserve"> each MS4 to implement strategies to reduce or eliminate the 303(d) causes of impairment.</w:t>
      </w:r>
    </w:p>
    <w:p w14:paraId="23916CC0" w14:textId="4547EF99" w:rsidR="007A364C" w:rsidRDefault="00BB70A3" w:rsidP="004473CA">
      <w:pPr>
        <w:spacing w:before="240" w:line="300" w:lineRule="atLeast"/>
        <w:jc w:val="both"/>
        <w:rPr>
          <w:sz w:val="28"/>
          <w:szCs w:val="28"/>
        </w:rPr>
      </w:pPr>
      <w:r>
        <w:rPr>
          <w:sz w:val="28"/>
          <w:szCs w:val="28"/>
        </w:rPr>
        <w:t>Present</w:t>
      </w:r>
      <w:r w:rsidR="007A364C">
        <w:rPr>
          <w:sz w:val="28"/>
          <w:szCs w:val="28"/>
        </w:rPr>
        <w:t xml:space="preserve"> 303(d) requirements are in Part III of the 2015 OKR04 permit.</w:t>
      </w:r>
      <w:r>
        <w:rPr>
          <w:sz w:val="28"/>
          <w:szCs w:val="28"/>
        </w:rPr>
        <w:t xml:space="preserve"> </w:t>
      </w:r>
      <w:r w:rsidR="007A364C">
        <w:rPr>
          <w:sz w:val="28"/>
          <w:szCs w:val="28"/>
        </w:rPr>
        <w:t>The draft 202</w:t>
      </w:r>
      <w:r>
        <w:rPr>
          <w:sz w:val="28"/>
          <w:szCs w:val="28"/>
        </w:rPr>
        <w:t>1</w:t>
      </w:r>
      <w:r w:rsidR="007A364C">
        <w:rPr>
          <w:sz w:val="28"/>
          <w:szCs w:val="28"/>
        </w:rPr>
        <w:t xml:space="preserve"> OKR04 permit has revised Part III </w:t>
      </w:r>
      <w:r>
        <w:rPr>
          <w:sz w:val="28"/>
          <w:szCs w:val="28"/>
        </w:rPr>
        <w:t>text into a</w:t>
      </w:r>
      <w:r w:rsidR="00F465F7">
        <w:rPr>
          <w:sz w:val="28"/>
          <w:szCs w:val="28"/>
        </w:rPr>
        <w:t>n</w:t>
      </w:r>
      <w:r>
        <w:rPr>
          <w:sz w:val="28"/>
          <w:szCs w:val="28"/>
        </w:rPr>
        <w:t xml:space="preserve"> </w:t>
      </w:r>
      <w:r w:rsidR="00F465F7">
        <w:rPr>
          <w:sz w:val="28"/>
          <w:szCs w:val="28"/>
        </w:rPr>
        <w:t xml:space="preserve">updated </w:t>
      </w:r>
      <w:r>
        <w:rPr>
          <w:sz w:val="28"/>
          <w:szCs w:val="28"/>
        </w:rPr>
        <w:t>Part IV</w:t>
      </w:r>
      <w:r w:rsidR="007A364C">
        <w:rPr>
          <w:sz w:val="28"/>
          <w:szCs w:val="28"/>
        </w:rPr>
        <w:t>.</w:t>
      </w:r>
    </w:p>
    <w:p w14:paraId="0DFEDC7A" w14:textId="1B1B6BE9" w:rsidR="007A364C" w:rsidRDefault="00834D8D" w:rsidP="004473CA">
      <w:pPr>
        <w:spacing w:before="240" w:line="300" w:lineRule="atLeast"/>
        <w:jc w:val="both"/>
        <w:rPr>
          <w:sz w:val="28"/>
          <w:szCs w:val="28"/>
        </w:rPr>
      </w:pPr>
      <w:r w:rsidRPr="00834D8D">
        <w:rPr>
          <w:noProof/>
          <w:sz w:val="28"/>
          <w:szCs w:val="28"/>
        </w:rPr>
        <w:drawing>
          <wp:anchor distT="0" distB="0" distL="114300" distR="114300" simplePos="0" relativeHeight="251702272" behindDoc="0" locked="0" layoutInCell="1" allowOverlap="1" wp14:anchorId="58BF3372" wp14:editId="529D73D3">
            <wp:simplePos x="0" y="0"/>
            <wp:positionH relativeFrom="margin">
              <wp:align>right</wp:align>
            </wp:positionH>
            <wp:positionV relativeFrom="paragraph">
              <wp:posOffset>654050</wp:posOffset>
            </wp:positionV>
            <wp:extent cx="3451225" cy="2695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51225" cy="2695575"/>
                    </a:xfrm>
                    <a:prstGeom prst="rect">
                      <a:avLst/>
                    </a:prstGeom>
                  </pic:spPr>
                </pic:pic>
              </a:graphicData>
            </a:graphic>
            <wp14:sizeRelH relativeFrom="margin">
              <wp14:pctWidth>0</wp14:pctWidth>
            </wp14:sizeRelH>
            <wp14:sizeRelV relativeFrom="margin">
              <wp14:pctHeight>0</wp14:pctHeight>
            </wp14:sizeRelV>
          </wp:anchor>
        </w:drawing>
      </w:r>
      <w:r w:rsidR="007A364C">
        <w:rPr>
          <w:sz w:val="28"/>
          <w:szCs w:val="28"/>
        </w:rPr>
        <w:t>Permittees must adopt special BMPs for education outreach targeting the significant sources of POCs.</w:t>
      </w:r>
    </w:p>
    <w:p w14:paraId="7D869F39" w14:textId="162E78C8" w:rsidR="007A364C" w:rsidRDefault="007A364C" w:rsidP="004473CA">
      <w:pPr>
        <w:spacing w:before="240" w:line="300" w:lineRule="atLeast"/>
        <w:jc w:val="both"/>
        <w:rPr>
          <w:sz w:val="28"/>
          <w:szCs w:val="28"/>
        </w:rPr>
      </w:pPr>
      <w:r>
        <w:rPr>
          <w:sz w:val="28"/>
          <w:szCs w:val="28"/>
        </w:rPr>
        <w:t>Inspections must be conducted within the 303(d) watershed within the MS4 to identify and control POC discharges.</w:t>
      </w:r>
    </w:p>
    <w:p w14:paraId="0FDC40B0" w14:textId="7A6F6286" w:rsidR="007A364C" w:rsidRDefault="007A364C" w:rsidP="004473CA">
      <w:pPr>
        <w:spacing w:before="240" w:line="300" w:lineRule="atLeast"/>
        <w:jc w:val="both"/>
        <w:rPr>
          <w:sz w:val="28"/>
          <w:szCs w:val="28"/>
        </w:rPr>
      </w:pPr>
      <w:r>
        <w:rPr>
          <w:sz w:val="28"/>
          <w:szCs w:val="28"/>
        </w:rPr>
        <w:t xml:space="preserve">Priority areas must be determined for targeted BMPs and inspections. </w:t>
      </w:r>
    </w:p>
    <w:p w14:paraId="1E239928" w14:textId="47A31D19" w:rsidR="009A2F55" w:rsidRDefault="009A2F55" w:rsidP="004473CA">
      <w:pPr>
        <w:spacing w:before="240" w:line="300" w:lineRule="atLeast"/>
        <w:jc w:val="both"/>
        <w:rPr>
          <w:sz w:val="28"/>
          <w:szCs w:val="28"/>
        </w:rPr>
      </w:pPr>
      <w:r>
        <w:rPr>
          <w:sz w:val="28"/>
          <w:szCs w:val="28"/>
        </w:rPr>
        <w:t xml:space="preserve">Operation and Maintenance procedures must be implemented that target POC discharges. New flood management projects must be assessed for 303(d) water quality impacts, and existing projects </w:t>
      </w:r>
      <w:r w:rsidR="00B34DEC">
        <w:rPr>
          <w:sz w:val="28"/>
          <w:szCs w:val="28"/>
        </w:rPr>
        <w:t xml:space="preserve">must be </w:t>
      </w:r>
      <w:r>
        <w:rPr>
          <w:sz w:val="28"/>
          <w:szCs w:val="28"/>
        </w:rPr>
        <w:t>examined for potential water quality retrofits.</w:t>
      </w:r>
    </w:p>
    <w:p w14:paraId="6874B5E0" w14:textId="319E660A" w:rsidR="009A2F55" w:rsidRDefault="009A2F55" w:rsidP="004473CA">
      <w:pPr>
        <w:spacing w:before="240" w:line="300" w:lineRule="atLeast"/>
        <w:jc w:val="both"/>
        <w:rPr>
          <w:sz w:val="28"/>
          <w:szCs w:val="28"/>
        </w:rPr>
      </w:pPr>
      <w:r>
        <w:rPr>
          <w:sz w:val="28"/>
          <w:szCs w:val="28"/>
        </w:rPr>
        <w:t xml:space="preserve">If the POC is bacteria (presently Enterococcus or E. coli in the WQS), OKR04 has 5 categories of actions </w:t>
      </w:r>
      <w:r w:rsidR="00B34DEC">
        <w:rPr>
          <w:sz w:val="28"/>
          <w:szCs w:val="28"/>
        </w:rPr>
        <w:t xml:space="preserve">that </w:t>
      </w:r>
      <w:r>
        <w:rPr>
          <w:sz w:val="28"/>
          <w:szCs w:val="28"/>
        </w:rPr>
        <w:t>the MS4 must take to reduce bacteria pollution.</w:t>
      </w:r>
    </w:p>
    <w:p w14:paraId="40A4CBA6" w14:textId="7F4EBF5E" w:rsidR="009A2F55" w:rsidRDefault="009A2F55" w:rsidP="004473CA">
      <w:pPr>
        <w:spacing w:before="240" w:line="300" w:lineRule="atLeast"/>
        <w:jc w:val="both"/>
        <w:rPr>
          <w:sz w:val="28"/>
          <w:szCs w:val="28"/>
        </w:rPr>
      </w:pPr>
      <w:r>
        <w:rPr>
          <w:sz w:val="28"/>
          <w:szCs w:val="28"/>
        </w:rPr>
        <w:t>In addition, OKR04’s Part VIII, the optional</w:t>
      </w:r>
      <w:r w:rsidR="00B34DEC">
        <w:rPr>
          <w:sz w:val="28"/>
          <w:szCs w:val="28"/>
        </w:rPr>
        <w:t xml:space="preserve"> minimum control measure</w:t>
      </w:r>
      <w:r>
        <w:rPr>
          <w:sz w:val="28"/>
          <w:szCs w:val="28"/>
        </w:rPr>
        <w:t xml:space="preserve"> </w:t>
      </w:r>
      <w:r w:rsidR="00B34DEC">
        <w:rPr>
          <w:sz w:val="28"/>
          <w:szCs w:val="28"/>
        </w:rPr>
        <w:t>(</w:t>
      </w:r>
      <w:r w:rsidRPr="00B34DEC">
        <w:rPr>
          <w:i/>
          <w:iCs/>
          <w:color w:val="833C0B" w:themeColor="accent2" w:themeShade="80"/>
          <w:sz w:val="28"/>
          <w:szCs w:val="28"/>
        </w:rPr>
        <w:t>7</w:t>
      </w:r>
      <w:r w:rsidRPr="00B34DEC">
        <w:rPr>
          <w:i/>
          <w:iCs/>
          <w:color w:val="833C0B" w:themeColor="accent2" w:themeShade="80"/>
          <w:sz w:val="28"/>
          <w:szCs w:val="28"/>
          <w:vertAlign w:val="superscript"/>
        </w:rPr>
        <w:t>th</w:t>
      </w:r>
      <w:r w:rsidRPr="00B34DEC">
        <w:rPr>
          <w:i/>
          <w:iCs/>
          <w:color w:val="833C0B" w:themeColor="accent2" w:themeShade="80"/>
          <w:sz w:val="28"/>
          <w:szCs w:val="28"/>
        </w:rPr>
        <w:t xml:space="preserve"> MCM</w:t>
      </w:r>
      <w:r>
        <w:rPr>
          <w:sz w:val="28"/>
          <w:szCs w:val="28"/>
        </w:rPr>
        <w:t xml:space="preserve">) for municipal construction, </w:t>
      </w:r>
      <w:r w:rsidR="00B34DEC">
        <w:rPr>
          <w:sz w:val="28"/>
          <w:szCs w:val="28"/>
        </w:rPr>
        <w:t>requires compliance with the OKR10 construction permit</w:t>
      </w:r>
      <w:r>
        <w:rPr>
          <w:sz w:val="28"/>
          <w:szCs w:val="28"/>
        </w:rPr>
        <w:t xml:space="preserve"> </w:t>
      </w:r>
      <w:r w:rsidR="00B34DEC">
        <w:rPr>
          <w:sz w:val="28"/>
          <w:szCs w:val="28"/>
        </w:rPr>
        <w:t xml:space="preserve">that also has its own </w:t>
      </w:r>
      <w:r>
        <w:rPr>
          <w:sz w:val="28"/>
          <w:szCs w:val="28"/>
        </w:rPr>
        <w:t>303(d)</w:t>
      </w:r>
      <w:r w:rsidR="00B34DEC">
        <w:rPr>
          <w:sz w:val="28"/>
          <w:szCs w:val="28"/>
        </w:rPr>
        <w:t xml:space="preserve"> requirements</w:t>
      </w:r>
      <w:r>
        <w:rPr>
          <w:sz w:val="28"/>
          <w:szCs w:val="28"/>
        </w:rPr>
        <w:t>.</w:t>
      </w:r>
    </w:p>
    <w:p w14:paraId="04BEABA0" w14:textId="0D9D9CC5" w:rsidR="00522F5B" w:rsidRDefault="003C323A" w:rsidP="004473CA">
      <w:pPr>
        <w:spacing w:before="240" w:line="300" w:lineRule="atLeast"/>
        <w:jc w:val="both"/>
        <w:rPr>
          <w:sz w:val="28"/>
          <w:szCs w:val="28"/>
        </w:rPr>
      </w:pPr>
      <w:r w:rsidRPr="003C323A">
        <w:rPr>
          <w:noProof/>
          <w:sz w:val="28"/>
          <w:szCs w:val="28"/>
        </w:rPr>
        <w:lastRenderedPageBreak/>
        <w:drawing>
          <wp:anchor distT="0" distB="0" distL="114300" distR="114300" simplePos="0" relativeHeight="251703296" behindDoc="0" locked="0" layoutInCell="1" allowOverlap="1" wp14:anchorId="15E6CB4C" wp14:editId="05C547CC">
            <wp:simplePos x="0" y="0"/>
            <wp:positionH relativeFrom="margin">
              <wp:posOffset>3113405</wp:posOffset>
            </wp:positionH>
            <wp:positionV relativeFrom="paragraph">
              <wp:posOffset>18415</wp:posOffset>
            </wp:positionV>
            <wp:extent cx="3193415" cy="228600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93415" cy="2286000"/>
                    </a:xfrm>
                    <a:prstGeom prst="rect">
                      <a:avLst/>
                    </a:prstGeom>
                  </pic:spPr>
                </pic:pic>
              </a:graphicData>
            </a:graphic>
            <wp14:sizeRelH relativeFrom="margin">
              <wp14:pctWidth>0</wp14:pctWidth>
            </wp14:sizeRelH>
            <wp14:sizeRelV relativeFrom="margin">
              <wp14:pctHeight>0</wp14:pctHeight>
            </wp14:sizeRelV>
          </wp:anchor>
        </w:drawing>
      </w:r>
      <w:r w:rsidR="00331790" w:rsidRPr="003E5CBB">
        <w:rPr>
          <w:b/>
          <w:bCs/>
          <w:sz w:val="28"/>
          <w:szCs w:val="28"/>
        </w:rPr>
        <w:t xml:space="preserve">SLIDE </w:t>
      </w:r>
      <w:r w:rsidR="00331790">
        <w:rPr>
          <w:b/>
          <w:bCs/>
          <w:sz w:val="28"/>
          <w:szCs w:val="28"/>
        </w:rPr>
        <w:t>11</w:t>
      </w:r>
      <w:r w:rsidR="00331790" w:rsidRPr="003E5CBB">
        <w:rPr>
          <w:b/>
          <w:bCs/>
          <w:sz w:val="28"/>
          <w:szCs w:val="28"/>
        </w:rPr>
        <w:t xml:space="preserve">:  </w:t>
      </w:r>
      <w:r w:rsidR="00331790">
        <w:rPr>
          <w:sz w:val="28"/>
          <w:szCs w:val="28"/>
        </w:rPr>
        <w:t xml:space="preserve">TMDLs are a very complicated subject, and their rollout </w:t>
      </w:r>
      <w:r w:rsidR="00B34DEC">
        <w:rPr>
          <w:sz w:val="28"/>
          <w:szCs w:val="28"/>
        </w:rPr>
        <w:t>by</w:t>
      </w:r>
      <w:r w:rsidR="00331790">
        <w:rPr>
          <w:sz w:val="28"/>
          <w:szCs w:val="28"/>
        </w:rPr>
        <w:t xml:space="preserve"> states and  EPA has been problematic over the past 25 years.</w:t>
      </w:r>
      <w:r w:rsidR="008040B2">
        <w:rPr>
          <w:sz w:val="28"/>
          <w:szCs w:val="28"/>
        </w:rPr>
        <w:t xml:space="preserve"> </w:t>
      </w:r>
    </w:p>
    <w:p w14:paraId="6DF784AD" w14:textId="01FFDC21" w:rsidR="00B47376" w:rsidRDefault="008040B2" w:rsidP="004473CA">
      <w:pPr>
        <w:spacing w:before="240" w:line="300" w:lineRule="atLeast"/>
        <w:jc w:val="both"/>
        <w:rPr>
          <w:sz w:val="28"/>
          <w:szCs w:val="28"/>
        </w:rPr>
      </w:pPr>
      <w:r>
        <w:rPr>
          <w:sz w:val="28"/>
          <w:szCs w:val="28"/>
        </w:rPr>
        <w:t xml:space="preserve">A TMDL is a special water quality pollutant impact study of </w:t>
      </w:r>
      <w:r w:rsidR="003C4E34">
        <w:rPr>
          <w:sz w:val="28"/>
          <w:szCs w:val="28"/>
        </w:rPr>
        <w:t>the</w:t>
      </w:r>
      <w:r>
        <w:rPr>
          <w:sz w:val="28"/>
          <w:szCs w:val="28"/>
        </w:rPr>
        <w:t xml:space="preserve"> entire watershed of the</w:t>
      </w:r>
      <w:r w:rsidRPr="008040B2">
        <w:rPr>
          <w:noProof/>
        </w:rPr>
        <w:t xml:space="preserve"> </w:t>
      </w:r>
      <w:r>
        <w:rPr>
          <w:sz w:val="28"/>
          <w:szCs w:val="28"/>
        </w:rPr>
        <w:t xml:space="preserve"> impaired waterbody. </w:t>
      </w:r>
    </w:p>
    <w:p w14:paraId="14F708C6" w14:textId="06D3E8CF" w:rsidR="008040B2" w:rsidRDefault="008040B2" w:rsidP="004473CA">
      <w:pPr>
        <w:spacing w:before="240" w:line="300" w:lineRule="atLeast"/>
        <w:jc w:val="both"/>
        <w:rPr>
          <w:sz w:val="28"/>
          <w:szCs w:val="28"/>
        </w:rPr>
      </w:pPr>
      <w:r>
        <w:rPr>
          <w:sz w:val="28"/>
          <w:szCs w:val="28"/>
        </w:rPr>
        <w:t>The sum of all point source pollutant wasteload allocations (</w:t>
      </w:r>
      <w:r w:rsidRPr="003C4E34">
        <w:rPr>
          <w:i/>
          <w:iCs/>
          <w:color w:val="833C0B" w:themeColor="accent2" w:themeShade="80"/>
          <w:sz w:val="28"/>
          <w:szCs w:val="28"/>
        </w:rPr>
        <w:t>WLAs</w:t>
      </w:r>
      <w:r>
        <w:rPr>
          <w:sz w:val="28"/>
          <w:szCs w:val="28"/>
        </w:rPr>
        <w:t>) are totaled, and they are added to the sum of all nonpoint source load allocations (</w:t>
      </w:r>
      <w:r w:rsidRPr="003C4E34">
        <w:rPr>
          <w:i/>
          <w:iCs/>
          <w:color w:val="833C0B" w:themeColor="accent2" w:themeShade="80"/>
          <w:sz w:val="28"/>
          <w:szCs w:val="28"/>
        </w:rPr>
        <w:t>LAs</w:t>
      </w:r>
      <w:r>
        <w:rPr>
          <w:sz w:val="28"/>
          <w:szCs w:val="28"/>
        </w:rPr>
        <w:t>) to give a total pollutant load from the watershed.</w:t>
      </w:r>
    </w:p>
    <w:p w14:paraId="1378420F" w14:textId="76E9A46E" w:rsidR="008040B2" w:rsidRDefault="008040B2" w:rsidP="004473CA">
      <w:pPr>
        <w:spacing w:before="240" w:line="300" w:lineRule="atLeast"/>
        <w:jc w:val="both"/>
        <w:rPr>
          <w:sz w:val="28"/>
          <w:szCs w:val="28"/>
        </w:rPr>
      </w:pPr>
      <w:r>
        <w:rPr>
          <w:sz w:val="28"/>
          <w:szCs w:val="28"/>
        </w:rPr>
        <w:t>Daily time frames are used, and the loads are in pounds per day (lbs/d) or for bacteria, in billions of bacteria cells per day. A Margin of Safety (</w:t>
      </w:r>
      <w:r w:rsidRPr="007C78E7">
        <w:rPr>
          <w:i/>
          <w:iCs/>
          <w:color w:val="833C0B" w:themeColor="accent2" w:themeShade="80"/>
          <w:sz w:val="28"/>
          <w:szCs w:val="28"/>
        </w:rPr>
        <w:t>MOS</w:t>
      </w:r>
      <w:r>
        <w:rPr>
          <w:sz w:val="28"/>
          <w:szCs w:val="28"/>
        </w:rPr>
        <w:t>) is also calculated as a buffer in setting WLAs and LAs due to the uncertainties in the overall TMDL analysis.</w:t>
      </w:r>
    </w:p>
    <w:p w14:paraId="3DF465E1" w14:textId="104FA715" w:rsidR="00331790" w:rsidRDefault="008040B2" w:rsidP="004473CA">
      <w:pPr>
        <w:spacing w:before="240" w:line="300" w:lineRule="atLeast"/>
        <w:jc w:val="both"/>
        <w:rPr>
          <w:sz w:val="28"/>
          <w:szCs w:val="28"/>
        </w:rPr>
      </w:pPr>
      <w:r>
        <w:rPr>
          <w:sz w:val="28"/>
          <w:szCs w:val="28"/>
        </w:rPr>
        <w:t xml:space="preserve">Because permitted MS4 stormwater discharges are considered point sources, TMDLs having MS4s will use a special calculation just for MS4s, the </w:t>
      </w:r>
      <w:r w:rsidRPr="007C78E7">
        <w:rPr>
          <w:i/>
          <w:iCs/>
          <w:color w:val="833C0B" w:themeColor="accent2" w:themeShade="80"/>
          <w:sz w:val="28"/>
          <w:szCs w:val="28"/>
        </w:rPr>
        <w:t>WLA_MS4</w:t>
      </w:r>
      <w:r>
        <w:rPr>
          <w:sz w:val="28"/>
          <w:szCs w:val="28"/>
        </w:rPr>
        <w:t>. Most TMDL studies also calculate a Percent Reduction Goal (</w:t>
      </w:r>
      <w:r w:rsidRPr="007C78E7">
        <w:rPr>
          <w:i/>
          <w:iCs/>
          <w:color w:val="833C0B" w:themeColor="accent2" w:themeShade="80"/>
          <w:sz w:val="28"/>
          <w:szCs w:val="28"/>
        </w:rPr>
        <w:t>PRG</w:t>
      </w:r>
      <w:r>
        <w:rPr>
          <w:sz w:val="28"/>
          <w:szCs w:val="28"/>
        </w:rPr>
        <w:t>) for MS4s, such as 42% load reduction needed.</w:t>
      </w:r>
    </w:p>
    <w:p w14:paraId="0C9D01D0" w14:textId="61509446" w:rsidR="008040B2" w:rsidRDefault="007C78E7" w:rsidP="004473CA">
      <w:pPr>
        <w:spacing w:before="240" w:line="300" w:lineRule="atLeast"/>
        <w:jc w:val="both"/>
        <w:rPr>
          <w:sz w:val="28"/>
          <w:szCs w:val="28"/>
        </w:rPr>
      </w:pPr>
      <w:r w:rsidRPr="003C323A">
        <w:rPr>
          <w:noProof/>
          <w:sz w:val="28"/>
          <w:szCs w:val="28"/>
        </w:rPr>
        <w:drawing>
          <wp:anchor distT="0" distB="0" distL="114300" distR="114300" simplePos="0" relativeHeight="251704320" behindDoc="0" locked="0" layoutInCell="1" allowOverlap="1" wp14:anchorId="00715638" wp14:editId="16601F2E">
            <wp:simplePos x="0" y="0"/>
            <wp:positionH relativeFrom="margin">
              <wp:align>right</wp:align>
            </wp:positionH>
            <wp:positionV relativeFrom="paragraph">
              <wp:posOffset>721360</wp:posOffset>
            </wp:positionV>
            <wp:extent cx="3257550" cy="23120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57550" cy="2312035"/>
                    </a:xfrm>
                    <a:prstGeom prst="rect">
                      <a:avLst/>
                    </a:prstGeom>
                  </pic:spPr>
                </pic:pic>
              </a:graphicData>
            </a:graphic>
            <wp14:sizeRelH relativeFrom="margin">
              <wp14:pctWidth>0</wp14:pctWidth>
            </wp14:sizeRelH>
            <wp14:sizeRelV relativeFrom="margin">
              <wp14:pctHeight>0</wp14:pctHeight>
            </wp14:sizeRelV>
          </wp:anchor>
        </w:drawing>
      </w:r>
      <w:r w:rsidR="008040B2">
        <w:rPr>
          <w:sz w:val="28"/>
          <w:szCs w:val="28"/>
        </w:rPr>
        <w:t xml:space="preserve">DEQ is allowing either the WLA_MS4 or the PRG to become the target for the MS4 to meet. Each MS4 must adopt their target load reduction as a Measurable Goal in their </w:t>
      </w:r>
      <w:r w:rsidR="00B47376">
        <w:rPr>
          <w:sz w:val="28"/>
          <w:szCs w:val="28"/>
        </w:rPr>
        <w:t>SWMP document.</w:t>
      </w:r>
    </w:p>
    <w:p w14:paraId="50AAB6BD" w14:textId="5A9B19D4" w:rsidR="00751DFD" w:rsidRDefault="00B47376" w:rsidP="004473CA">
      <w:pPr>
        <w:spacing w:before="240" w:line="300" w:lineRule="atLeast"/>
        <w:jc w:val="both"/>
        <w:rPr>
          <w:sz w:val="28"/>
          <w:szCs w:val="28"/>
        </w:rPr>
      </w:pPr>
      <w:r w:rsidRPr="003E5CBB">
        <w:rPr>
          <w:b/>
          <w:bCs/>
          <w:sz w:val="28"/>
          <w:szCs w:val="28"/>
        </w:rPr>
        <w:t xml:space="preserve">SLIDE </w:t>
      </w:r>
      <w:r>
        <w:rPr>
          <w:b/>
          <w:bCs/>
          <w:sz w:val="28"/>
          <w:szCs w:val="28"/>
        </w:rPr>
        <w:t>12</w:t>
      </w:r>
      <w:r w:rsidRPr="003E5CBB">
        <w:rPr>
          <w:b/>
          <w:bCs/>
          <w:sz w:val="28"/>
          <w:szCs w:val="28"/>
        </w:rPr>
        <w:t xml:space="preserve">:  </w:t>
      </w:r>
      <w:r>
        <w:rPr>
          <w:sz w:val="28"/>
          <w:szCs w:val="28"/>
        </w:rPr>
        <w:t>The list of Completed TMDLs</w:t>
      </w:r>
      <w:r w:rsidRPr="00B47376">
        <w:rPr>
          <w:sz w:val="28"/>
          <w:szCs w:val="28"/>
        </w:rPr>
        <w:t xml:space="preserve"> in Oklahoma </w:t>
      </w:r>
      <w:r>
        <w:rPr>
          <w:sz w:val="28"/>
          <w:szCs w:val="28"/>
        </w:rPr>
        <w:t>is updated by DEQ every 2 years coincid</w:t>
      </w:r>
      <w:r w:rsidR="007C78E7">
        <w:rPr>
          <w:sz w:val="28"/>
          <w:szCs w:val="28"/>
        </w:rPr>
        <w:t>ing</w:t>
      </w:r>
      <w:r>
        <w:rPr>
          <w:sz w:val="28"/>
          <w:szCs w:val="28"/>
        </w:rPr>
        <w:t xml:space="preserve"> with the release of a new Integrated Report. </w:t>
      </w:r>
    </w:p>
    <w:p w14:paraId="7C0F6203" w14:textId="1EBA010E" w:rsidR="00B47376" w:rsidRDefault="00B47376" w:rsidP="004473CA">
      <w:pPr>
        <w:spacing w:before="240" w:line="300" w:lineRule="atLeast"/>
        <w:jc w:val="both"/>
        <w:rPr>
          <w:sz w:val="28"/>
          <w:szCs w:val="28"/>
        </w:rPr>
      </w:pPr>
      <w:r>
        <w:rPr>
          <w:sz w:val="28"/>
          <w:szCs w:val="28"/>
        </w:rPr>
        <w:t xml:space="preserve">In the present 2015 OKR04 permit there are </w:t>
      </w:r>
      <w:r w:rsidR="00740E00">
        <w:rPr>
          <w:sz w:val="28"/>
          <w:szCs w:val="28"/>
        </w:rPr>
        <w:t xml:space="preserve">only </w:t>
      </w:r>
      <w:r>
        <w:rPr>
          <w:sz w:val="28"/>
          <w:szCs w:val="28"/>
        </w:rPr>
        <w:t>general requirement</w:t>
      </w:r>
      <w:r w:rsidR="00740E00">
        <w:rPr>
          <w:sz w:val="28"/>
          <w:szCs w:val="28"/>
        </w:rPr>
        <w:t>s</w:t>
      </w:r>
      <w:r>
        <w:rPr>
          <w:sz w:val="28"/>
          <w:szCs w:val="28"/>
        </w:rPr>
        <w:t xml:space="preserve"> to comply with TMDLs. This general strategy is changing significantly in the </w:t>
      </w:r>
      <w:r w:rsidR="007C78E7">
        <w:rPr>
          <w:sz w:val="28"/>
          <w:szCs w:val="28"/>
        </w:rPr>
        <w:t>new</w:t>
      </w:r>
      <w:r>
        <w:rPr>
          <w:sz w:val="28"/>
          <w:szCs w:val="28"/>
        </w:rPr>
        <w:t xml:space="preserve"> permit.</w:t>
      </w:r>
    </w:p>
    <w:p w14:paraId="242E91F8" w14:textId="7EC84AB4" w:rsidR="00B47376" w:rsidRDefault="007C78E7" w:rsidP="004473CA">
      <w:pPr>
        <w:spacing w:before="240" w:line="300" w:lineRule="atLeast"/>
        <w:jc w:val="both"/>
        <w:rPr>
          <w:sz w:val="28"/>
          <w:szCs w:val="28"/>
        </w:rPr>
      </w:pPr>
      <w:r>
        <w:rPr>
          <w:sz w:val="28"/>
          <w:szCs w:val="28"/>
        </w:rPr>
        <w:t xml:space="preserve">Table IV-2 in the 2021 OKR04 </w:t>
      </w:r>
      <w:r w:rsidR="00B47376">
        <w:rPr>
          <w:sz w:val="28"/>
          <w:szCs w:val="28"/>
        </w:rPr>
        <w:t>list</w:t>
      </w:r>
      <w:r>
        <w:rPr>
          <w:sz w:val="28"/>
          <w:szCs w:val="28"/>
        </w:rPr>
        <w:t>s</w:t>
      </w:r>
      <w:r w:rsidR="00B47376">
        <w:rPr>
          <w:sz w:val="28"/>
          <w:szCs w:val="28"/>
        </w:rPr>
        <w:t xml:space="preserve"> specific TMDL Reports</w:t>
      </w:r>
      <w:r>
        <w:rPr>
          <w:sz w:val="28"/>
          <w:szCs w:val="28"/>
        </w:rPr>
        <w:t xml:space="preserve"> and all</w:t>
      </w:r>
      <w:r w:rsidR="00B47376">
        <w:rPr>
          <w:sz w:val="28"/>
          <w:szCs w:val="28"/>
        </w:rPr>
        <w:t xml:space="preserve"> MS4s that must comply with the TMDLs in each report.</w:t>
      </w:r>
      <w:r>
        <w:rPr>
          <w:sz w:val="28"/>
          <w:szCs w:val="28"/>
        </w:rPr>
        <w:t xml:space="preserve"> The new permit also greatly expands TMDL compliance requirements for Table IV-2 MS4s.</w:t>
      </w:r>
    </w:p>
    <w:p w14:paraId="58AF40E0" w14:textId="4B33B222" w:rsidR="00B47376" w:rsidRDefault="003C323A" w:rsidP="004473CA">
      <w:pPr>
        <w:spacing w:before="240" w:line="300" w:lineRule="atLeast"/>
        <w:jc w:val="both"/>
        <w:rPr>
          <w:sz w:val="28"/>
          <w:szCs w:val="28"/>
        </w:rPr>
      </w:pPr>
      <w:r w:rsidRPr="003C323A">
        <w:rPr>
          <w:noProof/>
          <w:sz w:val="28"/>
          <w:szCs w:val="28"/>
        </w:rPr>
        <w:lastRenderedPageBreak/>
        <w:drawing>
          <wp:anchor distT="0" distB="0" distL="114300" distR="114300" simplePos="0" relativeHeight="251705344" behindDoc="0" locked="0" layoutInCell="1" allowOverlap="1" wp14:anchorId="5E5B8F75" wp14:editId="3127DD4B">
            <wp:simplePos x="0" y="0"/>
            <wp:positionH relativeFrom="margin">
              <wp:align>right</wp:align>
            </wp:positionH>
            <wp:positionV relativeFrom="paragraph">
              <wp:posOffset>26670</wp:posOffset>
            </wp:positionV>
            <wp:extent cx="3152775" cy="2498090"/>
            <wp:effectExtent l="19050" t="19050" r="28575" b="165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52775" cy="2498090"/>
                    </a:xfrm>
                    <a:prstGeom prst="rect">
                      <a:avLst/>
                    </a:prstGeom>
                    <a:ln>
                      <a:solidFill>
                        <a:schemeClr val="accent1"/>
                      </a:solidFill>
                    </a:ln>
                  </pic:spPr>
                </pic:pic>
              </a:graphicData>
            </a:graphic>
          </wp:anchor>
        </w:drawing>
      </w:r>
      <w:r w:rsidR="00B47376" w:rsidRPr="003E5CBB">
        <w:rPr>
          <w:b/>
          <w:bCs/>
          <w:sz w:val="28"/>
          <w:szCs w:val="28"/>
        </w:rPr>
        <w:t xml:space="preserve">SLIDE </w:t>
      </w:r>
      <w:r w:rsidR="00B47376">
        <w:rPr>
          <w:b/>
          <w:bCs/>
          <w:sz w:val="28"/>
          <w:szCs w:val="28"/>
        </w:rPr>
        <w:t>13</w:t>
      </w:r>
      <w:r w:rsidR="00B47376" w:rsidRPr="003E5CBB">
        <w:rPr>
          <w:b/>
          <w:bCs/>
          <w:sz w:val="28"/>
          <w:szCs w:val="28"/>
        </w:rPr>
        <w:t xml:space="preserve">:  </w:t>
      </w:r>
      <w:r w:rsidR="00B47376">
        <w:rPr>
          <w:sz w:val="28"/>
          <w:szCs w:val="28"/>
        </w:rPr>
        <w:t>Not all dischargers and MS4s must comply with TMDL</w:t>
      </w:r>
      <w:r w:rsidR="00FE6456">
        <w:rPr>
          <w:sz w:val="28"/>
          <w:szCs w:val="28"/>
        </w:rPr>
        <w:t>s</w:t>
      </w:r>
      <w:r w:rsidR="00B47376">
        <w:rPr>
          <w:sz w:val="28"/>
          <w:szCs w:val="28"/>
        </w:rPr>
        <w:t xml:space="preserve"> in their area.</w:t>
      </w:r>
    </w:p>
    <w:p w14:paraId="36CD5169" w14:textId="4C5C729E" w:rsidR="000B5CEC" w:rsidRDefault="00FE6456" w:rsidP="004473CA">
      <w:pPr>
        <w:spacing w:before="240" w:line="300" w:lineRule="atLeast"/>
        <w:jc w:val="both"/>
        <w:rPr>
          <w:sz w:val="28"/>
          <w:szCs w:val="28"/>
        </w:rPr>
      </w:pPr>
      <w:r>
        <w:rPr>
          <w:sz w:val="28"/>
          <w:szCs w:val="28"/>
        </w:rPr>
        <w:t>Only</w:t>
      </w:r>
      <w:r w:rsidR="00B47376">
        <w:rPr>
          <w:sz w:val="28"/>
          <w:szCs w:val="28"/>
        </w:rPr>
        <w:t xml:space="preserve"> MS4s </w:t>
      </w:r>
      <w:r w:rsidR="000B5CEC">
        <w:rPr>
          <w:sz w:val="28"/>
          <w:szCs w:val="28"/>
        </w:rPr>
        <w:t>that</w:t>
      </w:r>
      <w:r w:rsidR="00B47376">
        <w:rPr>
          <w:sz w:val="28"/>
          <w:szCs w:val="28"/>
        </w:rPr>
        <w:t xml:space="preserve"> are </w:t>
      </w:r>
      <w:r w:rsidR="000B5CEC">
        <w:rPr>
          <w:sz w:val="28"/>
          <w:szCs w:val="28"/>
        </w:rPr>
        <w:t>listed</w:t>
      </w:r>
      <w:r w:rsidR="00B47376">
        <w:rPr>
          <w:sz w:val="28"/>
          <w:szCs w:val="28"/>
        </w:rPr>
        <w:t xml:space="preserve"> in </w:t>
      </w:r>
      <w:r w:rsidR="000B5CEC">
        <w:rPr>
          <w:sz w:val="28"/>
          <w:szCs w:val="28"/>
        </w:rPr>
        <w:t xml:space="preserve">Table IV-2 of the </w:t>
      </w:r>
      <w:r>
        <w:rPr>
          <w:sz w:val="28"/>
          <w:szCs w:val="28"/>
        </w:rPr>
        <w:t>2021</w:t>
      </w:r>
      <w:r w:rsidR="000B5CEC">
        <w:rPr>
          <w:sz w:val="28"/>
          <w:szCs w:val="28"/>
        </w:rPr>
        <w:t xml:space="preserve"> OKR04 permit must comply with OKR04’s new TMDL requirements</w:t>
      </w:r>
      <w:r w:rsidR="00B47376">
        <w:rPr>
          <w:sz w:val="28"/>
          <w:szCs w:val="28"/>
        </w:rPr>
        <w:t xml:space="preserve">. </w:t>
      </w:r>
    </w:p>
    <w:p w14:paraId="76210E0B" w14:textId="4FFB73B9" w:rsidR="000B5CEC" w:rsidRDefault="00B47376" w:rsidP="004473CA">
      <w:pPr>
        <w:spacing w:before="240" w:line="300" w:lineRule="atLeast"/>
        <w:jc w:val="both"/>
        <w:rPr>
          <w:sz w:val="28"/>
          <w:szCs w:val="28"/>
        </w:rPr>
      </w:pPr>
      <w:r>
        <w:rPr>
          <w:sz w:val="28"/>
          <w:szCs w:val="28"/>
        </w:rPr>
        <w:t xml:space="preserve">OKR05 industrial and OKR10 construction </w:t>
      </w:r>
      <w:r w:rsidR="00FE6456">
        <w:rPr>
          <w:sz w:val="28"/>
          <w:szCs w:val="28"/>
        </w:rPr>
        <w:t xml:space="preserve">stormwater </w:t>
      </w:r>
      <w:r>
        <w:rPr>
          <w:sz w:val="28"/>
          <w:szCs w:val="28"/>
        </w:rPr>
        <w:t xml:space="preserve">dischargers </w:t>
      </w:r>
      <w:r w:rsidR="00FE6456">
        <w:rPr>
          <w:sz w:val="28"/>
          <w:szCs w:val="28"/>
        </w:rPr>
        <w:t xml:space="preserve">may have </w:t>
      </w:r>
      <w:r>
        <w:rPr>
          <w:sz w:val="28"/>
          <w:szCs w:val="28"/>
        </w:rPr>
        <w:t xml:space="preserve">TMDL </w:t>
      </w:r>
      <w:r w:rsidR="00FE6456">
        <w:rPr>
          <w:sz w:val="28"/>
          <w:szCs w:val="28"/>
        </w:rPr>
        <w:t>requirements</w:t>
      </w:r>
      <w:r>
        <w:rPr>
          <w:sz w:val="28"/>
          <w:szCs w:val="28"/>
        </w:rPr>
        <w:t>.</w:t>
      </w:r>
      <w:r w:rsidR="00FE6456">
        <w:rPr>
          <w:sz w:val="28"/>
          <w:szCs w:val="28"/>
        </w:rPr>
        <w:t xml:space="preserve"> </w:t>
      </w:r>
      <w:r>
        <w:rPr>
          <w:sz w:val="28"/>
          <w:szCs w:val="28"/>
        </w:rPr>
        <w:t xml:space="preserve">Businesses that have wastewater </w:t>
      </w:r>
      <w:r w:rsidR="00FE6456">
        <w:rPr>
          <w:sz w:val="28"/>
          <w:szCs w:val="28"/>
        </w:rPr>
        <w:t xml:space="preserve">permit </w:t>
      </w:r>
      <w:r>
        <w:rPr>
          <w:sz w:val="28"/>
          <w:szCs w:val="28"/>
        </w:rPr>
        <w:t>discharge</w:t>
      </w:r>
      <w:r w:rsidR="00FE6456">
        <w:rPr>
          <w:sz w:val="28"/>
          <w:szCs w:val="28"/>
        </w:rPr>
        <w:t>s of POCs</w:t>
      </w:r>
      <w:r>
        <w:rPr>
          <w:sz w:val="28"/>
          <w:szCs w:val="28"/>
        </w:rPr>
        <w:t xml:space="preserve"> </w:t>
      </w:r>
      <w:r w:rsidR="00B00BA6">
        <w:rPr>
          <w:sz w:val="28"/>
          <w:szCs w:val="28"/>
        </w:rPr>
        <w:t>may</w:t>
      </w:r>
      <w:r w:rsidR="00FE6456">
        <w:rPr>
          <w:sz w:val="28"/>
          <w:szCs w:val="28"/>
        </w:rPr>
        <w:t xml:space="preserve"> also </w:t>
      </w:r>
      <w:r w:rsidR="009837B8">
        <w:rPr>
          <w:sz w:val="28"/>
          <w:szCs w:val="28"/>
        </w:rPr>
        <w:t>have to comply</w:t>
      </w:r>
      <w:r w:rsidR="00FE6456">
        <w:rPr>
          <w:sz w:val="28"/>
          <w:szCs w:val="28"/>
        </w:rPr>
        <w:t xml:space="preserve"> with TMDLs</w:t>
      </w:r>
      <w:r w:rsidR="009837B8">
        <w:rPr>
          <w:sz w:val="28"/>
          <w:szCs w:val="28"/>
        </w:rPr>
        <w:t xml:space="preserve">. </w:t>
      </w:r>
    </w:p>
    <w:p w14:paraId="5B8E1A93" w14:textId="352E9CC4" w:rsidR="00B47376" w:rsidRDefault="009837B8" w:rsidP="004473CA">
      <w:pPr>
        <w:spacing w:before="240" w:line="300" w:lineRule="atLeast"/>
        <w:jc w:val="both"/>
        <w:rPr>
          <w:sz w:val="28"/>
          <w:szCs w:val="28"/>
        </w:rPr>
      </w:pPr>
      <w:r>
        <w:rPr>
          <w:sz w:val="28"/>
          <w:szCs w:val="28"/>
        </w:rPr>
        <w:t xml:space="preserve">Most agricultural activities are exempt unless they have discharge permits </w:t>
      </w:r>
      <w:r w:rsidR="00697FB4">
        <w:rPr>
          <w:sz w:val="28"/>
          <w:szCs w:val="28"/>
        </w:rPr>
        <w:t xml:space="preserve">such </w:t>
      </w:r>
      <w:r>
        <w:rPr>
          <w:sz w:val="28"/>
          <w:szCs w:val="28"/>
        </w:rPr>
        <w:t>as Concentrated Animal Feeding Operations (CAFOs). Landowners and MS4s that do not have discharge permits do not have to comply with TMDLs.</w:t>
      </w:r>
    </w:p>
    <w:p w14:paraId="3F2B6217" w14:textId="4B9838E1" w:rsidR="002B07D4" w:rsidRDefault="00FE6456" w:rsidP="004473CA">
      <w:pPr>
        <w:spacing w:before="240" w:line="300" w:lineRule="atLeast"/>
        <w:jc w:val="both"/>
        <w:rPr>
          <w:sz w:val="28"/>
          <w:szCs w:val="28"/>
        </w:rPr>
      </w:pPr>
      <w:r w:rsidRPr="003C323A">
        <w:rPr>
          <w:noProof/>
          <w:sz w:val="28"/>
          <w:szCs w:val="28"/>
        </w:rPr>
        <w:drawing>
          <wp:anchor distT="0" distB="0" distL="114300" distR="114300" simplePos="0" relativeHeight="251706368" behindDoc="0" locked="0" layoutInCell="1" allowOverlap="1" wp14:anchorId="638B13C7" wp14:editId="75BEA9EE">
            <wp:simplePos x="0" y="0"/>
            <wp:positionH relativeFrom="margin">
              <wp:align>right</wp:align>
            </wp:positionH>
            <wp:positionV relativeFrom="paragraph">
              <wp:posOffset>36195</wp:posOffset>
            </wp:positionV>
            <wp:extent cx="3201035" cy="2495550"/>
            <wp:effectExtent l="19050" t="19050" r="18415" b="190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01035" cy="2495550"/>
                    </a:xfrm>
                    <a:prstGeom prst="rect">
                      <a:avLst/>
                    </a:prstGeom>
                    <a:ln>
                      <a:solidFill>
                        <a:schemeClr val="accent1"/>
                      </a:solidFill>
                    </a:ln>
                  </pic:spPr>
                </pic:pic>
              </a:graphicData>
            </a:graphic>
          </wp:anchor>
        </w:drawing>
      </w:r>
      <w:r w:rsidR="000B5CEC" w:rsidRPr="003E5CBB">
        <w:rPr>
          <w:b/>
          <w:bCs/>
          <w:sz w:val="28"/>
          <w:szCs w:val="28"/>
        </w:rPr>
        <w:t xml:space="preserve">SLIDE </w:t>
      </w:r>
      <w:r w:rsidR="000B5CEC">
        <w:rPr>
          <w:b/>
          <w:bCs/>
          <w:sz w:val="28"/>
          <w:szCs w:val="28"/>
        </w:rPr>
        <w:t>14</w:t>
      </w:r>
      <w:r w:rsidR="000B5CEC" w:rsidRPr="003E5CBB">
        <w:rPr>
          <w:b/>
          <w:bCs/>
          <w:sz w:val="28"/>
          <w:szCs w:val="28"/>
        </w:rPr>
        <w:t xml:space="preserve">:  </w:t>
      </w:r>
      <w:r w:rsidR="000B5CEC">
        <w:rPr>
          <w:sz w:val="28"/>
          <w:szCs w:val="28"/>
        </w:rPr>
        <w:t xml:space="preserve">As TMDL reports began to be prepared in the 1990s, the reports stated that MS4s would have to begin complying with the TMDL “upon notification by the Director” [DEQ]. </w:t>
      </w:r>
    </w:p>
    <w:p w14:paraId="2EA492CC" w14:textId="12400CF2" w:rsidR="000B5CEC" w:rsidRDefault="000B5CEC" w:rsidP="004473CA">
      <w:pPr>
        <w:spacing w:before="240" w:line="300" w:lineRule="atLeast"/>
        <w:jc w:val="both"/>
        <w:rPr>
          <w:sz w:val="28"/>
          <w:szCs w:val="28"/>
        </w:rPr>
      </w:pPr>
      <w:r>
        <w:rPr>
          <w:sz w:val="28"/>
          <w:szCs w:val="28"/>
        </w:rPr>
        <w:t xml:space="preserve">Until late 2013, DEQ did not issue any notifications to MS4s, so compliance </w:t>
      </w:r>
      <w:r w:rsidR="00C50731">
        <w:rPr>
          <w:sz w:val="28"/>
          <w:szCs w:val="28"/>
        </w:rPr>
        <w:t>was postponed. The one exception was the November 2013 Lake Thunderbird TMDL.</w:t>
      </w:r>
    </w:p>
    <w:p w14:paraId="5BCE5BC1" w14:textId="21D2B0C7" w:rsidR="00C50731" w:rsidRDefault="00C50731" w:rsidP="004473CA">
      <w:pPr>
        <w:spacing w:before="240" w:line="300" w:lineRule="atLeast"/>
        <w:jc w:val="both"/>
        <w:rPr>
          <w:sz w:val="28"/>
          <w:szCs w:val="28"/>
        </w:rPr>
      </w:pPr>
      <w:r>
        <w:rPr>
          <w:sz w:val="28"/>
          <w:szCs w:val="28"/>
        </w:rPr>
        <w:t>Since 2013, most TMDL Reports changed the text to state that MS4s must begin implementation upon EPA approval of the TMDL. However, DEQ postponed these new TMDLs pending development of a statewide TMDL compliance strategy for MS4s.</w:t>
      </w:r>
    </w:p>
    <w:p w14:paraId="4E0D761F" w14:textId="65D2D974" w:rsidR="00C50731" w:rsidRDefault="00C50731" w:rsidP="004473CA">
      <w:pPr>
        <w:spacing w:before="240" w:line="300" w:lineRule="atLeast"/>
        <w:jc w:val="both"/>
        <w:rPr>
          <w:sz w:val="28"/>
          <w:szCs w:val="28"/>
        </w:rPr>
      </w:pPr>
      <w:r>
        <w:rPr>
          <w:sz w:val="28"/>
          <w:szCs w:val="28"/>
        </w:rPr>
        <w:t>The 202</w:t>
      </w:r>
      <w:r w:rsidR="00FE6456">
        <w:rPr>
          <w:sz w:val="28"/>
          <w:szCs w:val="28"/>
        </w:rPr>
        <w:t>1</w:t>
      </w:r>
      <w:r>
        <w:rPr>
          <w:sz w:val="28"/>
          <w:szCs w:val="28"/>
        </w:rPr>
        <w:t xml:space="preserve"> OKR04 permit is the first rollout of DEQ’s new TMDL strategy for MS4s. Completed TMDLs with MS4s are listed in OKR04 Table IV-2. </w:t>
      </w:r>
      <w:r w:rsidR="00FE6456">
        <w:rPr>
          <w:sz w:val="28"/>
          <w:szCs w:val="28"/>
        </w:rPr>
        <w:t>All other</w:t>
      </w:r>
      <w:r>
        <w:rPr>
          <w:sz w:val="28"/>
          <w:szCs w:val="28"/>
        </w:rPr>
        <w:t xml:space="preserve"> MS4s in Oklahoma in other TMDL watersheds do not have to comply with TMDLs at this time.</w:t>
      </w:r>
    </w:p>
    <w:p w14:paraId="1BF3BAD9" w14:textId="077A00D1" w:rsidR="002B07D4" w:rsidRDefault="00C50731" w:rsidP="004473CA">
      <w:pPr>
        <w:spacing w:before="240" w:line="300" w:lineRule="atLeast"/>
        <w:jc w:val="both"/>
        <w:rPr>
          <w:sz w:val="28"/>
          <w:szCs w:val="28"/>
        </w:rPr>
      </w:pPr>
      <w:r w:rsidRPr="003E5CBB">
        <w:rPr>
          <w:b/>
          <w:bCs/>
          <w:sz w:val="28"/>
          <w:szCs w:val="28"/>
        </w:rPr>
        <w:t xml:space="preserve">SLIDE </w:t>
      </w:r>
      <w:r>
        <w:rPr>
          <w:b/>
          <w:bCs/>
          <w:sz w:val="28"/>
          <w:szCs w:val="28"/>
        </w:rPr>
        <w:t>15</w:t>
      </w:r>
      <w:r w:rsidRPr="003E5CBB">
        <w:rPr>
          <w:b/>
          <w:bCs/>
          <w:sz w:val="28"/>
          <w:szCs w:val="28"/>
        </w:rPr>
        <w:t xml:space="preserve">:  </w:t>
      </w:r>
      <w:r>
        <w:rPr>
          <w:sz w:val="28"/>
          <w:szCs w:val="28"/>
        </w:rPr>
        <w:t>Most pre-2013 TMDLs in Oklahoma calculated a single combined WLA_MS4 load for all MS4s; individual WLA_MS4 loads were not assigned to each MS4.</w:t>
      </w:r>
      <w:r w:rsidR="003C323A" w:rsidRPr="003C323A">
        <w:rPr>
          <w:noProof/>
        </w:rPr>
        <w:t xml:space="preserve"> </w:t>
      </w:r>
    </w:p>
    <w:p w14:paraId="4287ACED" w14:textId="6E7DF630" w:rsidR="00C50731" w:rsidRDefault="00606C2E" w:rsidP="004473CA">
      <w:pPr>
        <w:spacing w:before="240" w:line="300" w:lineRule="atLeast"/>
        <w:jc w:val="both"/>
        <w:rPr>
          <w:sz w:val="28"/>
          <w:szCs w:val="28"/>
        </w:rPr>
      </w:pPr>
      <w:r w:rsidRPr="003C323A">
        <w:rPr>
          <w:noProof/>
          <w:sz w:val="28"/>
          <w:szCs w:val="28"/>
        </w:rPr>
        <w:lastRenderedPageBreak/>
        <w:drawing>
          <wp:anchor distT="0" distB="0" distL="114300" distR="114300" simplePos="0" relativeHeight="251707392" behindDoc="0" locked="0" layoutInCell="1" allowOverlap="1" wp14:anchorId="74BD6122" wp14:editId="072C707A">
            <wp:simplePos x="0" y="0"/>
            <wp:positionH relativeFrom="margin">
              <wp:posOffset>2995295</wp:posOffset>
            </wp:positionH>
            <wp:positionV relativeFrom="paragraph">
              <wp:posOffset>27940</wp:posOffset>
            </wp:positionV>
            <wp:extent cx="3288030" cy="2514600"/>
            <wp:effectExtent l="19050" t="19050" r="26670"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88030" cy="2514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50731">
        <w:rPr>
          <w:sz w:val="28"/>
          <w:szCs w:val="28"/>
        </w:rPr>
        <w:t xml:space="preserve">These are referred to as “Aggregate TMDLs”. </w:t>
      </w:r>
    </w:p>
    <w:p w14:paraId="34F4DA42" w14:textId="15DFC5FC" w:rsidR="00C50731" w:rsidRDefault="00FE6456" w:rsidP="004473CA">
      <w:pPr>
        <w:spacing w:before="240" w:line="300" w:lineRule="atLeast"/>
        <w:jc w:val="both"/>
        <w:rPr>
          <w:sz w:val="28"/>
          <w:szCs w:val="28"/>
        </w:rPr>
      </w:pPr>
      <w:r>
        <w:rPr>
          <w:sz w:val="28"/>
          <w:szCs w:val="28"/>
        </w:rPr>
        <w:t>M</w:t>
      </w:r>
      <w:r w:rsidR="00C50731">
        <w:rPr>
          <w:sz w:val="28"/>
          <w:szCs w:val="28"/>
        </w:rPr>
        <w:t xml:space="preserve">eeting an aggregated MS4 load is not practical, </w:t>
      </w:r>
      <w:r>
        <w:rPr>
          <w:sz w:val="28"/>
          <w:szCs w:val="28"/>
        </w:rPr>
        <w:t xml:space="preserve">so </w:t>
      </w:r>
      <w:r w:rsidR="00C50731">
        <w:rPr>
          <w:sz w:val="28"/>
          <w:szCs w:val="28"/>
        </w:rPr>
        <w:t xml:space="preserve">DEQ is calculating individual MS4 loads from those old TMDL aggregated loads for </w:t>
      </w:r>
      <w:r w:rsidR="00F17C15">
        <w:rPr>
          <w:sz w:val="28"/>
          <w:szCs w:val="28"/>
        </w:rPr>
        <w:t>each MS4</w:t>
      </w:r>
      <w:r w:rsidR="00C50731">
        <w:rPr>
          <w:sz w:val="28"/>
          <w:szCs w:val="28"/>
        </w:rPr>
        <w:t xml:space="preserve"> listed in OKR04 Table IV-2.</w:t>
      </w:r>
    </w:p>
    <w:p w14:paraId="7648F2E5" w14:textId="3A43A91E" w:rsidR="00C50731" w:rsidRDefault="00F17C15" w:rsidP="004473CA">
      <w:pPr>
        <w:spacing w:before="240" w:line="300" w:lineRule="atLeast"/>
        <w:jc w:val="both"/>
        <w:rPr>
          <w:sz w:val="28"/>
          <w:szCs w:val="28"/>
        </w:rPr>
      </w:pPr>
      <w:r w:rsidRPr="003C323A">
        <w:rPr>
          <w:noProof/>
          <w:sz w:val="28"/>
          <w:szCs w:val="28"/>
        </w:rPr>
        <w:drawing>
          <wp:anchor distT="0" distB="0" distL="114300" distR="114300" simplePos="0" relativeHeight="251708416" behindDoc="0" locked="0" layoutInCell="1" allowOverlap="1" wp14:anchorId="3870B424" wp14:editId="50BBAB61">
            <wp:simplePos x="0" y="0"/>
            <wp:positionH relativeFrom="margin">
              <wp:align>right</wp:align>
            </wp:positionH>
            <wp:positionV relativeFrom="paragraph">
              <wp:posOffset>1212850</wp:posOffset>
            </wp:positionV>
            <wp:extent cx="3257550" cy="2573655"/>
            <wp:effectExtent l="19050" t="19050" r="19050" b="171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57550" cy="2573655"/>
                    </a:xfrm>
                    <a:prstGeom prst="rect">
                      <a:avLst/>
                    </a:prstGeom>
                    <a:ln>
                      <a:solidFill>
                        <a:schemeClr val="accent1"/>
                      </a:solidFill>
                    </a:ln>
                  </pic:spPr>
                </pic:pic>
              </a:graphicData>
            </a:graphic>
          </wp:anchor>
        </w:drawing>
      </w:r>
      <w:r>
        <w:rPr>
          <w:sz w:val="28"/>
          <w:szCs w:val="28"/>
        </w:rPr>
        <w:t>DEQ</w:t>
      </w:r>
      <w:r w:rsidR="00C50731">
        <w:rPr>
          <w:sz w:val="28"/>
          <w:szCs w:val="28"/>
        </w:rPr>
        <w:t xml:space="preserve"> is </w:t>
      </w:r>
      <w:r>
        <w:rPr>
          <w:sz w:val="28"/>
          <w:szCs w:val="28"/>
        </w:rPr>
        <w:t xml:space="preserve">also </w:t>
      </w:r>
      <w:r w:rsidR="00C50731">
        <w:rPr>
          <w:sz w:val="28"/>
          <w:szCs w:val="28"/>
        </w:rPr>
        <w:t>allowing flexibility in MS4 target selection</w:t>
      </w:r>
      <w:r>
        <w:rPr>
          <w:sz w:val="28"/>
          <w:szCs w:val="28"/>
        </w:rPr>
        <w:t xml:space="preserve"> in 2021 OKR04 by allowing</w:t>
      </w:r>
      <w:r w:rsidR="00C50731">
        <w:rPr>
          <w:sz w:val="28"/>
          <w:szCs w:val="28"/>
        </w:rPr>
        <w:t xml:space="preserve"> </w:t>
      </w:r>
      <w:r>
        <w:rPr>
          <w:sz w:val="28"/>
          <w:szCs w:val="28"/>
        </w:rPr>
        <w:t xml:space="preserve">an </w:t>
      </w:r>
      <w:r w:rsidR="00C50731">
        <w:rPr>
          <w:sz w:val="28"/>
          <w:szCs w:val="28"/>
        </w:rPr>
        <w:t>MS4 to set their assigned WLA_MS4 load as their target or use the PRG as their load reduction target.</w:t>
      </w:r>
    </w:p>
    <w:p w14:paraId="22C643C9" w14:textId="6596EB91" w:rsidR="002F6AD6" w:rsidRDefault="00657824" w:rsidP="004473CA">
      <w:pPr>
        <w:spacing w:before="240" w:line="300" w:lineRule="atLeast"/>
        <w:jc w:val="both"/>
        <w:rPr>
          <w:sz w:val="28"/>
          <w:szCs w:val="28"/>
        </w:rPr>
      </w:pPr>
      <w:r w:rsidRPr="003E5CBB">
        <w:rPr>
          <w:b/>
          <w:bCs/>
          <w:sz w:val="28"/>
          <w:szCs w:val="28"/>
        </w:rPr>
        <w:t xml:space="preserve">SLIDE </w:t>
      </w:r>
      <w:r>
        <w:rPr>
          <w:b/>
          <w:bCs/>
          <w:sz w:val="28"/>
          <w:szCs w:val="28"/>
        </w:rPr>
        <w:t>16</w:t>
      </w:r>
      <w:r w:rsidRPr="003E5CBB">
        <w:rPr>
          <w:b/>
          <w:bCs/>
          <w:sz w:val="28"/>
          <w:szCs w:val="28"/>
        </w:rPr>
        <w:t xml:space="preserve">:  </w:t>
      </w:r>
      <w:r w:rsidR="002F6AD6">
        <w:rPr>
          <w:sz w:val="28"/>
          <w:szCs w:val="28"/>
        </w:rPr>
        <w:t>The present OKR04 does not list specific TMDL Reports nor ha</w:t>
      </w:r>
      <w:r w:rsidR="00A371B0">
        <w:rPr>
          <w:sz w:val="28"/>
          <w:szCs w:val="28"/>
        </w:rPr>
        <w:t>s</w:t>
      </w:r>
      <w:r w:rsidR="002F6AD6">
        <w:rPr>
          <w:sz w:val="28"/>
          <w:szCs w:val="28"/>
        </w:rPr>
        <w:t xml:space="preserve"> lists of MS4s that must comply with TMDLs.</w:t>
      </w:r>
    </w:p>
    <w:p w14:paraId="10AA83E0" w14:textId="6DA09772" w:rsidR="002F6AD6" w:rsidRDefault="002F6AD6" w:rsidP="004473CA">
      <w:pPr>
        <w:spacing w:before="240" w:line="300" w:lineRule="atLeast"/>
        <w:jc w:val="both"/>
        <w:rPr>
          <w:sz w:val="28"/>
          <w:szCs w:val="28"/>
        </w:rPr>
      </w:pPr>
      <w:r>
        <w:rPr>
          <w:sz w:val="28"/>
          <w:szCs w:val="28"/>
        </w:rPr>
        <w:t>The 202</w:t>
      </w:r>
      <w:r w:rsidR="00622101">
        <w:rPr>
          <w:sz w:val="28"/>
          <w:szCs w:val="28"/>
        </w:rPr>
        <w:t>1</w:t>
      </w:r>
      <w:r>
        <w:rPr>
          <w:sz w:val="28"/>
          <w:szCs w:val="28"/>
        </w:rPr>
        <w:t xml:space="preserve"> OKR04 </w:t>
      </w:r>
      <w:r w:rsidR="00622101">
        <w:rPr>
          <w:sz w:val="28"/>
          <w:szCs w:val="28"/>
        </w:rPr>
        <w:t xml:space="preserve">permit adds </w:t>
      </w:r>
      <w:r>
        <w:rPr>
          <w:sz w:val="28"/>
          <w:szCs w:val="28"/>
        </w:rPr>
        <w:t xml:space="preserve">Table IV-2 </w:t>
      </w:r>
      <w:r w:rsidR="00A371B0">
        <w:rPr>
          <w:sz w:val="28"/>
          <w:szCs w:val="28"/>
        </w:rPr>
        <w:t>showing</w:t>
      </w:r>
      <w:r>
        <w:rPr>
          <w:sz w:val="28"/>
          <w:szCs w:val="28"/>
        </w:rPr>
        <w:t xml:space="preserve"> specific TMDL Reports and all of the permitted MS4s within each report that must begin complying.</w:t>
      </w:r>
    </w:p>
    <w:p w14:paraId="5360EECC" w14:textId="2BA99523" w:rsidR="00657824" w:rsidRDefault="002F6AD6" w:rsidP="004473CA">
      <w:pPr>
        <w:spacing w:before="240" w:line="300" w:lineRule="atLeast"/>
        <w:jc w:val="both"/>
        <w:rPr>
          <w:sz w:val="28"/>
          <w:szCs w:val="28"/>
        </w:rPr>
      </w:pPr>
      <w:r>
        <w:rPr>
          <w:sz w:val="28"/>
          <w:szCs w:val="28"/>
        </w:rPr>
        <w:t>In effect, DEQ is “notifying” MS4s of their TMDL obligations with the finalization of the new OKR04</w:t>
      </w:r>
      <w:r w:rsidR="00A371B0">
        <w:rPr>
          <w:sz w:val="28"/>
          <w:szCs w:val="28"/>
        </w:rPr>
        <w:t>.</w:t>
      </w:r>
      <w:r>
        <w:rPr>
          <w:sz w:val="28"/>
          <w:szCs w:val="28"/>
        </w:rPr>
        <w:t xml:space="preserve"> </w:t>
      </w:r>
      <w:r w:rsidR="00A371B0">
        <w:rPr>
          <w:sz w:val="28"/>
          <w:szCs w:val="28"/>
        </w:rPr>
        <w:t>T</w:t>
      </w:r>
      <w:r>
        <w:rPr>
          <w:sz w:val="28"/>
          <w:szCs w:val="28"/>
        </w:rPr>
        <w:t xml:space="preserve">he permit’s “Effective Date” begins the schedule of </w:t>
      </w:r>
      <w:r w:rsidR="00A371B0">
        <w:rPr>
          <w:sz w:val="28"/>
          <w:szCs w:val="28"/>
        </w:rPr>
        <w:t xml:space="preserve">all </w:t>
      </w:r>
      <w:r>
        <w:rPr>
          <w:sz w:val="28"/>
          <w:szCs w:val="28"/>
        </w:rPr>
        <w:t>TMDL implementation activities.</w:t>
      </w:r>
      <w:r w:rsidR="00657824" w:rsidRPr="002F6AD6">
        <w:rPr>
          <w:sz w:val="28"/>
          <w:szCs w:val="28"/>
        </w:rPr>
        <w:t xml:space="preserve"> </w:t>
      </w:r>
    </w:p>
    <w:p w14:paraId="68F54F06" w14:textId="0B49DA64" w:rsidR="002F6AD6" w:rsidRDefault="002F6AD6" w:rsidP="004473CA">
      <w:pPr>
        <w:spacing w:before="240" w:line="300" w:lineRule="atLeast"/>
        <w:jc w:val="both"/>
        <w:rPr>
          <w:sz w:val="28"/>
          <w:szCs w:val="28"/>
        </w:rPr>
      </w:pPr>
      <w:r w:rsidRPr="002F6AD6">
        <w:rPr>
          <w:sz w:val="28"/>
          <w:szCs w:val="28"/>
        </w:rPr>
        <w:t>OKR04 also has many pages of specific TMDL actions that must be taken by MS4s, including preparation of 3 to 4 types of Plans.</w:t>
      </w:r>
      <w:r>
        <w:rPr>
          <w:sz w:val="28"/>
          <w:szCs w:val="28"/>
        </w:rPr>
        <w:t xml:space="preserve"> </w:t>
      </w:r>
      <w:r w:rsidRPr="002F6AD6">
        <w:rPr>
          <w:i/>
          <w:iCs/>
          <w:color w:val="1F3864" w:themeColor="accent1" w:themeShade="80"/>
          <w:sz w:val="28"/>
          <w:szCs w:val="28"/>
        </w:rPr>
        <w:t>These are discussed in greater detail in GCSA Fact Sheets and Workbooks from Zoom meetings.</w:t>
      </w:r>
      <w:r w:rsidR="00A371B0">
        <w:rPr>
          <w:i/>
          <w:iCs/>
          <w:color w:val="1F3864" w:themeColor="accent1" w:themeShade="80"/>
          <w:sz w:val="28"/>
          <w:szCs w:val="28"/>
        </w:rPr>
        <w:t xml:space="preserve"> </w:t>
      </w:r>
      <w:r w:rsidRPr="002F6AD6">
        <w:rPr>
          <w:i/>
          <w:iCs/>
          <w:color w:val="1F3864" w:themeColor="accent1" w:themeShade="80"/>
          <w:sz w:val="28"/>
          <w:szCs w:val="28"/>
        </w:rPr>
        <w:t>INCOG will work with DEQ to prepar</w:t>
      </w:r>
      <w:r w:rsidR="00A371B0">
        <w:rPr>
          <w:i/>
          <w:iCs/>
          <w:color w:val="1F3864" w:themeColor="accent1" w:themeShade="80"/>
          <w:sz w:val="28"/>
          <w:szCs w:val="28"/>
        </w:rPr>
        <w:t>e GCSA</w:t>
      </w:r>
      <w:r w:rsidRPr="002F6AD6">
        <w:rPr>
          <w:i/>
          <w:iCs/>
          <w:color w:val="1F3864" w:themeColor="accent1" w:themeShade="80"/>
          <w:sz w:val="28"/>
          <w:szCs w:val="28"/>
        </w:rPr>
        <w:t xml:space="preserve"> </w:t>
      </w:r>
      <w:r w:rsidR="00A371B0">
        <w:rPr>
          <w:i/>
          <w:iCs/>
          <w:color w:val="1F3864" w:themeColor="accent1" w:themeShade="80"/>
          <w:sz w:val="28"/>
          <w:szCs w:val="28"/>
        </w:rPr>
        <w:t xml:space="preserve">guidance </w:t>
      </w:r>
      <w:r w:rsidRPr="002F6AD6">
        <w:rPr>
          <w:i/>
          <w:iCs/>
          <w:color w:val="1F3864" w:themeColor="accent1" w:themeShade="80"/>
          <w:sz w:val="28"/>
          <w:szCs w:val="28"/>
        </w:rPr>
        <w:t xml:space="preserve">documents and education outreach on TMDL compliance. INCOG will also </w:t>
      </w:r>
      <w:r w:rsidR="00A371B0">
        <w:rPr>
          <w:i/>
          <w:iCs/>
          <w:color w:val="1F3864" w:themeColor="accent1" w:themeShade="80"/>
          <w:sz w:val="28"/>
          <w:szCs w:val="28"/>
        </w:rPr>
        <w:t>host</w:t>
      </w:r>
      <w:r w:rsidRPr="002F6AD6">
        <w:rPr>
          <w:i/>
          <w:iCs/>
          <w:color w:val="1F3864" w:themeColor="accent1" w:themeShade="80"/>
          <w:sz w:val="28"/>
          <w:szCs w:val="28"/>
        </w:rPr>
        <w:t xml:space="preserve"> training sessions on TMDLs</w:t>
      </w:r>
      <w:r>
        <w:rPr>
          <w:sz w:val="28"/>
          <w:szCs w:val="28"/>
        </w:rPr>
        <w:t>.</w:t>
      </w:r>
    </w:p>
    <w:p w14:paraId="14955751" w14:textId="5ECC877E" w:rsidR="002F6AD6" w:rsidRDefault="002F6AD6" w:rsidP="004473CA">
      <w:pPr>
        <w:spacing w:before="240" w:line="300" w:lineRule="atLeast"/>
        <w:jc w:val="both"/>
        <w:rPr>
          <w:sz w:val="28"/>
          <w:szCs w:val="28"/>
        </w:rPr>
      </w:pPr>
      <w:r w:rsidRPr="003E5CBB">
        <w:rPr>
          <w:b/>
          <w:bCs/>
          <w:sz w:val="28"/>
          <w:szCs w:val="28"/>
        </w:rPr>
        <w:t>SLIDE</w:t>
      </w:r>
      <w:r w:rsidR="00AC7ECB">
        <w:rPr>
          <w:b/>
          <w:bCs/>
          <w:sz w:val="28"/>
          <w:szCs w:val="28"/>
        </w:rPr>
        <w:t>S</w:t>
      </w:r>
      <w:r w:rsidRPr="003E5CBB">
        <w:rPr>
          <w:b/>
          <w:bCs/>
          <w:sz w:val="28"/>
          <w:szCs w:val="28"/>
        </w:rPr>
        <w:t xml:space="preserve"> </w:t>
      </w:r>
      <w:r>
        <w:rPr>
          <w:b/>
          <w:bCs/>
          <w:sz w:val="28"/>
          <w:szCs w:val="28"/>
        </w:rPr>
        <w:t>17</w:t>
      </w:r>
      <w:r w:rsidR="00AC7ECB">
        <w:rPr>
          <w:b/>
          <w:bCs/>
          <w:sz w:val="28"/>
          <w:szCs w:val="28"/>
        </w:rPr>
        <w:t xml:space="preserve"> &amp; 18</w:t>
      </w:r>
      <w:r w:rsidRPr="003E5CBB">
        <w:rPr>
          <w:b/>
          <w:bCs/>
          <w:sz w:val="28"/>
          <w:szCs w:val="28"/>
        </w:rPr>
        <w:t xml:space="preserve">:  </w:t>
      </w:r>
      <w:r w:rsidR="00AC7ECB">
        <w:rPr>
          <w:sz w:val="28"/>
          <w:szCs w:val="28"/>
        </w:rPr>
        <w:t xml:space="preserve">When stormwater permits were first being prepared in Oklahoma, the US Fish and Wildlife Service (FWS) and the Oklahoma Department of Wildlife Conservation (ODWC) </w:t>
      </w:r>
      <w:r w:rsidR="00A371B0">
        <w:rPr>
          <w:sz w:val="28"/>
          <w:szCs w:val="28"/>
        </w:rPr>
        <w:t>identified</w:t>
      </w:r>
      <w:r w:rsidR="00AC7ECB">
        <w:rPr>
          <w:sz w:val="28"/>
          <w:szCs w:val="28"/>
        </w:rPr>
        <w:t xml:space="preserve"> areas needing special protection for endangered and threatened species and their critical habitats.</w:t>
      </w:r>
    </w:p>
    <w:p w14:paraId="69CF49F8" w14:textId="2C03EA9C" w:rsidR="00AC7ECB" w:rsidRDefault="00A371B0" w:rsidP="004473CA">
      <w:pPr>
        <w:spacing w:before="240" w:line="300" w:lineRule="atLeast"/>
        <w:jc w:val="both"/>
        <w:rPr>
          <w:sz w:val="28"/>
          <w:szCs w:val="28"/>
        </w:rPr>
      </w:pPr>
      <w:r w:rsidRPr="00523E7E">
        <w:rPr>
          <w:b/>
          <w:bCs/>
          <w:noProof/>
          <w:sz w:val="28"/>
          <w:szCs w:val="28"/>
        </w:rPr>
        <w:lastRenderedPageBreak/>
        <w:drawing>
          <wp:anchor distT="0" distB="0" distL="114300" distR="114300" simplePos="0" relativeHeight="251709440" behindDoc="0" locked="0" layoutInCell="1" allowOverlap="1" wp14:anchorId="5640F969" wp14:editId="44CB5638">
            <wp:simplePos x="0" y="0"/>
            <wp:positionH relativeFrom="margin">
              <wp:align>right</wp:align>
            </wp:positionH>
            <wp:positionV relativeFrom="paragraph">
              <wp:posOffset>32385</wp:posOffset>
            </wp:positionV>
            <wp:extent cx="3361690" cy="2747645"/>
            <wp:effectExtent l="19050" t="19050" r="10160" b="146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61690" cy="27476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AC7ECB">
        <w:rPr>
          <w:sz w:val="28"/>
          <w:szCs w:val="28"/>
        </w:rPr>
        <w:t xml:space="preserve">These areas </w:t>
      </w:r>
      <w:r>
        <w:rPr>
          <w:sz w:val="28"/>
          <w:szCs w:val="28"/>
        </w:rPr>
        <w:t>are referred to</w:t>
      </w:r>
      <w:r w:rsidR="00AC7ECB">
        <w:rPr>
          <w:sz w:val="28"/>
          <w:szCs w:val="28"/>
        </w:rPr>
        <w:t xml:space="preserve"> as Aquatic Resources of Concern (ARC). Each of the 3 stormwater general permits has ARC areas </w:t>
      </w:r>
      <w:r>
        <w:rPr>
          <w:sz w:val="28"/>
          <w:szCs w:val="28"/>
        </w:rPr>
        <w:t xml:space="preserve">listed along with </w:t>
      </w:r>
      <w:r w:rsidR="00AC7ECB">
        <w:rPr>
          <w:sz w:val="28"/>
          <w:szCs w:val="28"/>
        </w:rPr>
        <w:t>a</w:t>
      </w:r>
      <w:r>
        <w:rPr>
          <w:sz w:val="28"/>
          <w:szCs w:val="28"/>
        </w:rPr>
        <w:t>n Oklahoma ARC</w:t>
      </w:r>
      <w:r w:rsidR="00AC7ECB">
        <w:rPr>
          <w:sz w:val="28"/>
          <w:szCs w:val="28"/>
        </w:rPr>
        <w:t xml:space="preserve"> map (see OKR04’s Exhibit I).</w:t>
      </w:r>
    </w:p>
    <w:p w14:paraId="0621B48B" w14:textId="2DEF1C7E" w:rsidR="00AC7ECB" w:rsidRDefault="00AC7ECB" w:rsidP="004473CA">
      <w:pPr>
        <w:spacing w:before="240" w:line="300" w:lineRule="atLeast"/>
        <w:jc w:val="both"/>
        <w:rPr>
          <w:sz w:val="28"/>
          <w:szCs w:val="28"/>
        </w:rPr>
      </w:pPr>
      <w:r>
        <w:rPr>
          <w:sz w:val="28"/>
          <w:szCs w:val="28"/>
        </w:rPr>
        <w:t>Most ARC protection requirements in OKR04 are in Part VIII, the optional 7</w:t>
      </w:r>
      <w:r w:rsidRPr="00AC7ECB">
        <w:rPr>
          <w:sz w:val="28"/>
          <w:szCs w:val="28"/>
          <w:vertAlign w:val="superscript"/>
        </w:rPr>
        <w:t>th</w:t>
      </w:r>
      <w:r>
        <w:rPr>
          <w:sz w:val="28"/>
          <w:szCs w:val="28"/>
        </w:rPr>
        <w:t xml:space="preserve"> MCM for</w:t>
      </w:r>
      <w:r w:rsidRPr="00AC7ECB">
        <w:rPr>
          <w:noProof/>
        </w:rPr>
        <w:t xml:space="preserve"> </w:t>
      </w:r>
      <w:r>
        <w:rPr>
          <w:sz w:val="28"/>
          <w:szCs w:val="28"/>
        </w:rPr>
        <w:t xml:space="preserve"> municipal construction. </w:t>
      </w:r>
    </w:p>
    <w:p w14:paraId="65A20F1E" w14:textId="7CBBEE36" w:rsidR="00AC7ECB" w:rsidRDefault="00AC7ECB" w:rsidP="004473CA">
      <w:pPr>
        <w:spacing w:before="240" w:line="300" w:lineRule="atLeast"/>
        <w:jc w:val="both"/>
        <w:rPr>
          <w:sz w:val="28"/>
          <w:szCs w:val="28"/>
        </w:rPr>
      </w:pPr>
      <w:r>
        <w:rPr>
          <w:sz w:val="28"/>
          <w:szCs w:val="28"/>
        </w:rPr>
        <w:t xml:space="preserve">ARC must also be considered when applying for permit coverage under OKR04’s Permit Eligibility section. </w:t>
      </w:r>
    </w:p>
    <w:p w14:paraId="170F94D2" w14:textId="50AE8C52" w:rsidR="00AC7ECB" w:rsidRDefault="00A371B0" w:rsidP="004473CA">
      <w:pPr>
        <w:spacing w:before="240" w:line="300" w:lineRule="atLeast"/>
        <w:jc w:val="both"/>
        <w:rPr>
          <w:sz w:val="28"/>
          <w:szCs w:val="28"/>
        </w:rPr>
      </w:pPr>
      <w:r w:rsidRPr="005D550C">
        <w:rPr>
          <w:noProof/>
          <w:sz w:val="28"/>
          <w:szCs w:val="28"/>
        </w:rPr>
        <w:drawing>
          <wp:anchor distT="0" distB="0" distL="114300" distR="114300" simplePos="0" relativeHeight="251710464" behindDoc="0" locked="0" layoutInCell="1" allowOverlap="1" wp14:anchorId="2886A1C7" wp14:editId="534A059F">
            <wp:simplePos x="0" y="0"/>
            <wp:positionH relativeFrom="margin">
              <wp:align>right</wp:align>
            </wp:positionH>
            <wp:positionV relativeFrom="paragraph">
              <wp:posOffset>7620</wp:posOffset>
            </wp:positionV>
            <wp:extent cx="3624580" cy="2600325"/>
            <wp:effectExtent l="19050" t="19050" r="13970" b="285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624580" cy="2600325"/>
                    </a:xfrm>
                    <a:prstGeom prst="rect">
                      <a:avLst/>
                    </a:prstGeom>
                    <a:ln>
                      <a:solidFill>
                        <a:schemeClr val="accent1"/>
                      </a:solidFill>
                    </a:ln>
                  </pic:spPr>
                </pic:pic>
              </a:graphicData>
            </a:graphic>
          </wp:anchor>
        </w:drawing>
      </w:r>
      <w:r w:rsidR="00AC7ECB">
        <w:rPr>
          <w:sz w:val="28"/>
          <w:szCs w:val="28"/>
        </w:rPr>
        <w:t>The MS4 must ensure that their activities under the OKR04 permit will not cause harm to species or their critical habitat.</w:t>
      </w:r>
    </w:p>
    <w:p w14:paraId="0CF394CC" w14:textId="0337E458" w:rsidR="00642D14" w:rsidRDefault="00642D14" w:rsidP="004473CA">
      <w:pPr>
        <w:spacing w:before="240" w:line="300" w:lineRule="atLeast"/>
        <w:jc w:val="both"/>
        <w:rPr>
          <w:sz w:val="28"/>
          <w:szCs w:val="28"/>
        </w:rPr>
      </w:pPr>
      <w:r>
        <w:rPr>
          <w:sz w:val="28"/>
          <w:szCs w:val="28"/>
        </w:rPr>
        <w:t>Only those MS4s with ARC areas at least partly within their MS4 must comply with the ARC provisions in OKR04.</w:t>
      </w:r>
    </w:p>
    <w:p w14:paraId="5EA25950" w14:textId="1EB81F10" w:rsidR="00AC7ECB" w:rsidRDefault="00642D14" w:rsidP="004473CA">
      <w:pPr>
        <w:spacing w:before="240" w:line="300" w:lineRule="atLeast"/>
        <w:jc w:val="both"/>
        <w:rPr>
          <w:sz w:val="28"/>
          <w:szCs w:val="28"/>
        </w:rPr>
      </w:pPr>
      <w:r w:rsidRPr="003E5CBB">
        <w:rPr>
          <w:b/>
          <w:bCs/>
          <w:sz w:val="28"/>
          <w:szCs w:val="28"/>
        </w:rPr>
        <w:t>SLIDE</w:t>
      </w:r>
      <w:r>
        <w:rPr>
          <w:b/>
          <w:bCs/>
          <w:sz w:val="28"/>
          <w:szCs w:val="28"/>
        </w:rPr>
        <w:t>S</w:t>
      </w:r>
      <w:r w:rsidRPr="003E5CBB">
        <w:rPr>
          <w:b/>
          <w:bCs/>
          <w:sz w:val="28"/>
          <w:szCs w:val="28"/>
        </w:rPr>
        <w:t xml:space="preserve"> </w:t>
      </w:r>
      <w:r>
        <w:rPr>
          <w:b/>
          <w:bCs/>
          <w:sz w:val="28"/>
          <w:szCs w:val="28"/>
        </w:rPr>
        <w:t>19</w:t>
      </w:r>
      <w:r w:rsidR="00951BF1">
        <w:rPr>
          <w:b/>
          <w:bCs/>
          <w:sz w:val="28"/>
          <w:szCs w:val="28"/>
        </w:rPr>
        <w:t xml:space="preserve">: </w:t>
      </w:r>
      <w:r w:rsidR="00951BF1">
        <w:rPr>
          <w:sz w:val="28"/>
          <w:szCs w:val="28"/>
        </w:rPr>
        <w:t xml:space="preserve"> Outstanding Resource Waters (ORW) represent a few Oklahoma streams and watershed</w:t>
      </w:r>
      <w:r w:rsidR="003E57E0">
        <w:rPr>
          <w:sz w:val="28"/>
          <w:szCs w:val="28"/>
        </w:rPr>
        <w:t>s</w:t>
      </w:r>
      <w:r w:rsidR="00951BF1">
        <w:rPr>
          <w:sz w:val="28"/>
          <w:szCs w:val="28"/>
        </w:rPr>
        <w:t xml:space="preserve"> of exceptionally high water quality deserving of special protection status in the Oklahoma WQS. Most prominent are the Oklahoma Scenic Rivers.</w:t>
      </w:r>
      <w:r w:rsidR="007C7810" w:rsidRPr="007C7810">
        <w:rPr>
          <w:noProof/>
        </w:rPr>
        <w:t xml:space="preserve"> </w:t>
      </w:r>
    </w:p>
    <w:p w14:paraId="3F25D152" w14:textId="574EA5B1" w:rsidR="00951BF1" w:rsidRDefault="00951BF1" w:rsidP="004473CA">
      <w:pPr>
        <w:spacing w:before="240" w:line="300" w:lineRule="atLeast"/>
        <w:jc w:val="both"/>
        <w:rPr>
          <w:sz w:val="28"/>
          <w:szCs w:val="28"/>
        </w:rPr>
      </w:pPr>
      <w:r>
        <w:rPr>
          <w:sz w:val="28"/>
          <w:szCs w:val="28"/>
        </w:rPr>
        <w:t xml:space="preserve">Only one permitted MS4 in Oklahoma, the City of Tahlequah, has MS4 </w:t>
      </w:r>
      <w:r w:rsidR="00A96CD2">
        <w:rPr>
          <w:sz w:val="28"/>
          <w:szCs w:val="28"/>
        </w:rPr>
        <w:t xml:space="preserve">area </w:t>
      </w:r>
      <w:r>
        <w:rPr>
          <w:sz w:val="28"/>
          <w:szCs w:val="28"/>
        </w:rPr>
        <w:t>within one of these ORW areas.</w:t>
      </w:r>
    </w:p>
    <w:p w14:paraId="62F456B3" w14:textId="290A5D1F" w:rsidR="00951BF1" w:rsidRDefault="00951BF1" w:rsidP="004473CA">
      <w:pPr>
        <w:spacing w:before="240" w:line="300" w:lineRule="atLeast"/>
        <w:jc w:val="both"/>
        <w:rPr>
          <w:sz w:val="28"/>
          <w:szCs w:val="28"/>
        </w:rPr>
      </w:pPr>
      <w:r>
        <w:rPr>
          <w:sz w:val="28"/>
          <w:szCs w:val="28"/>
        </w:rPr>
        <w:t xml:space="preserve">As such, Tahlequah must meet a wide range of special protection </w:t>
      </w:r>
      <w:r w:rsidR="00A96CD2">
        <w:rPr>
          <w:sz w:val="28"/>
          <w:szCs w:val="28"/>
        </w:rPr>
        <w:t>requirements</w:t>
      </w:r>
      <w:r>
        <w:rPr>
          <w:sz w:val="28"/>
          <w:szCs w:val="28"/>
        </w:rPr>
        <w:t xml:space="preserve">, including ensuring that their MS4 </w:t>
      </w:r>
      <w:r w:rsidR="008A3BD9">
        <w:rPr>
          <w:sz w:val="28"/>
          <w:szCs w:val="28"/>
        </w:rPr>
        <w:t xml:space="preserve">pollutant </w:t>
      </w:r>
      <w:r>
        <w:rPr>
          <w:sz w:val="28"/>
          <w:szCs w:val="28"/>
        </w:rPr>
        <w:t>discharges do not exceed those that existed in 1992.</w:t>
      </w:r>
    </w:p>
    <w:p w14:paraId="21932196" w14:textId="4A1D41C0" w:rsidR="00951BF1" w:rsidRPr="00951BF1" w:rsidRDefault="00A371B0" w:rsidP="004473CA">
      <w:pPr>
        <w:spacing w:before="240" w:line="300" w:lineRule="atLeast"/>
        <w:jc w:val="both"/>
        <w:rPr>
          <w:sz w:val="28"/>
          <w:szCs w:val="28"/>
        </w:rPr>
      </w:pPr>
      <w:r w:rsidRPr="007C7810">
        <w:rPr>
          <w:noProof/>
          <w:sz w:val="28"/>
          <w:szCs w:val="28"/>
        </w:rPr>
        <w:lastRenderedPageBreak/>
        <w:drawing>
          <wp:anchor distT="0" distB="0" distL="114300" distR="114300" simplePos="0" relativeHeight="251711488" behindDoc="0" locked="0" layoutInCell="1" allowOverlap="1" wp14:anchorId="78B856F6" wp14:editId="5AC9D8E4">
            <wp:simplePos x="0" y="0"/>
            <wp:positionH relativeFrom="margin">
              <wp:align>left</wp:align>
            </wp:positionH>
            <wp:positionV relativeFrom="paragraph">
              <wp:posOffset>26670</wp:posOffset>
            </wp:positionV>
            <wp:extent cx="3286125" cy="2492375"/>
            <wp:effectExtent l="19050" t="19050" r="28575" b="222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286125" cy="2492375"/>
                    </a:xfrm>
                    <a:prstGeom prst="rect">
                      <a:avLst/>
                    </a:prstGeom>
                    <a:ln>
                      <a:solidFill>
                        <a:schemeClr val="accent1"/>
                      </a:solidFill>
                    </a:ln>
                  </pic:spPr>
                </pic:pic>
              </a:graphicData>
            </a:graphic>
          </wp:anchor>
        </w:drawing>
      </w:r>
      <w:r w:rsidR="00951BF1">
        <w:rPr>
          <w:sz w:val="28"/>
          <w:szCs w:val="28"/>
        </w:rPr>
        <w:t>Significant resources have been devoted to this effort by Tahlequah, and their</w:t>
      </w:r>
      <w:r w:rsidR="00951BF1" w:rsidRPr="00951BF1">
        <w:rPr>
          <w:noProof/>
        </w:rPr>
        <w:t xml:space="preserve"> </w:t>
      </w:r>
      <w:r w:rsidR="00951BF1">
        <w:rPr>
          <w:sz w:val="28"/>
          <w:szCs w:val="28"/>
        </w:rPr>
        <w:t xml:space="preserve"> responsibilities will be ongoing as long as the Illinois River and its tributaries have ORW protection.</w:t>
      </w:r>
    </w:p>
    <w:p w14:paraId="69D311F3" w14:textId="72756610" w:rsidR="00AC7ECB" w:rsidRDefault="00A96CD2" w:rsidP="004473CA">
      <w:pPr>
        <w:spacing w:before="240" w:line="300" w:lineRule="atLeast"/>
        <w:jc w:val="both"/>
        <w:rPr>
          <w:sz w:val="28"/>
          <w:szCs w:val="28"/>
        </w:rPr>
      </w:pPr>
      <w:r w:rsidRPr="00CB4392">
        <w:rPr>
          <w:noProof/>
          <w:sz w:val="28"/>
          <w:szCs w:val="28"/>
        </w:rPr>
        <w:drawing>
          <wp:anchor distT="0" distB="0" distL="114300" distR="114300" simplePos="0" relativeHeight="251697152" behindDoc="0" locked="0" layoutInCell="1" allowOverlap="1" wp14:anchorId="67269313" wp14:editId="5F2517DF">
            <wp:simplePos x="0" y="0"/>
            <wp:positionH relativeFrom="margin">
              <wp:posOffset>3735705</wp:posOffset>
            </wp:positionH>
            <wp:positionV relativeFrom="paragraph">
              <wp:posOffset>1370965</wp:posOffset>
            </wp:positionV>
            <wp:extent cx="2578100" cy="19335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14:sizeRelH relativeFrom="margin">
              <wp14:pctWidth>0</wp14:pctWidth>
            </wp14:sizeRelH>
            <wp14:sizeRelV relativeFrom="margin">
              <wp14:pctHeight>0</wp14:pctHeight>
            </wp14:sizeRelV>
          </wp:anchor>
        </w:drawing>
      </w:r>
      <w:r w:rsidR="00951BF1">
        <w:rPr>
          <w:sz w:val="28"/>
          <w:szCs w:val="28"/>
        </w:rPr>
        <w:t>The proposed new 202</w:t>
      </w:r>
      <w:r>
        <w:rPr>
          <w:sz w:val="28"/>
          <w:szCs w:val="28"/>
        </w:rPr>
        <w:t>1</w:t>
      </w:r>
      <w:r w:rsidR="00951BF1">
        <w:rPr>
          <w:sz w:val="28"/>
          <w:szCs w:val="28"/>
        </w:rPr>
        <w:t xml:space="preserve"> OKR04 permit does not expand upon any ORW requirements nor identify any additional MS4s.</w:t>
      </w:r>
    </w:p>
    <w:p w14:paraId="19E9487F" w14:textId="1828DB65" w:rsidR="00A371B0" w:rsidRDefault="00A371B0" w:rsidP="004473CA">
      <w:pPr>
        <w:spacing w:before="240" w:line="300" w:lineRule="atLeast"/>
        <w:jc w:val="both"/>
        <w:rPr>
          <w:sz w:val="28"/>
          <w:szCs w:val="28"/>
        </w:rPr>
      </w:pPr>
    </w:p>
    <w:p w14:paraId="4BC5F547" w14:textId="37E1A983" w:rsidR="00951BF1" w:rsidRDefault="00951BF1" w:rsidP="004473CA">
      <w:pPr>
        <w:spacing w:before="240" w:line="300" w:lineRule="atLeast"/>
        <w:jc w:val="both"/>
        <w:rPr>
          <w:sz w:val="28"/>
          <w:szCs w:val="28"/>
        </w:rPr>
      </w:pPr>
      <w:r w:rsidRPr="003E5CBB">
        <w:rPr>
          <w:b/>
          <w:bCs/>
          <w:sz w:val="28"/>
          <w:szCs w:val="28"/>
        </w:rPr>
        <w:t>SLIDE</w:t>
      </w:r>
      <w:r>
        <w:rPr>
          <w:b/>
          <w:bCs/>
          <w:sz w:val="28"/>
          <w:szCs w:val="28"/>
        </w:rPr>
        <w:t>S</w:t>
      </w:r>
      <w:r w:rsidRPr="003E5CBB">
        <w:rPr>
          <w:b/>
          <w:bCs/>
          <w:sz w:val="28"/>
          <w:szCs w:val="28"/>
        </w:rPr>
        <w:t xml:space="preserve"> </w:t>
      </w:r>
      <w:r>
        <w:rPr>
          <w:b/>
          <w:bCs/>
          <w:sz w:val="28"/>
          <w:szCs w:val="28"/>
        </w:rPr>
        <w:t xml:space="preserve">20: </w:t>
      </w:r>
      <w:r>
        <w:rPr>
          <w:sz w:val="28"/>
          <w:szCs w:val="28"/>
        </w:rPr>
        <w:t xml:space="preserve"> This concludes the 4-part Stormwater 101 Workbook series by INCOG for its GCSA Members.</w:t>
      </w:r>
    </w:p>
    <w:p w14:paraId="6B0BB179" w14:textId="17D3E186" w:rsidR="00951BF1" w:rsidRDefault="00951BF1" w:rsidP="004473CA">
      <w:pPr>
        <w:spacing w:before="240" w:line="300" w:lineRule="atLeast"/>
        <w:jc w:val="both"/>
        <w:rPr>
          <w:sz w:val="28"/>
          <w:szCs w:val="28"/>
        </w:rPr>
      </w:pPr>
      <w:r>
        <w:rPr>
          <w:sz w:val="28"/>
          <w:szCs w:val="28"/>
        </w:rPr>
        <w:t>Over the past year, a third of GCSA Member program manage</w:t>
      </w:r>
      <w:r w:rsidR="00CB4392">
        <w:rPr>
          <w:sz w:val="28"/>
          <w:szCs w:val="28"/>
        </w:rPr>
        <w:t>rs</w:t>
      </w:r>
      <w:r>
        <w:rPr>
          <w:sz w:val="28"/>
          <w:szCs w:val="28"/>
        </w:rPr>
        <w:t xml:space="preserve"> have been replaced by new people, most of whom do not have a thorough background in OKR04 permitting or water quality protection.</w:t>
      </w:r>
    </w:p>
    <w:p w14:paraId="632BDC35" w14:textId="4AC356D6" w:rsidR="00951BF1" w:rsidRDefault="00951BF1" w:rsidP="004473CA">
      <w:pPr>
        <w:spacing w:before="240" w:line="300" w:lineRule="atLeast"/>
        <w:jc w:val="both"/>
        <w:rPr>
          <w:sz w:val="28"/>
          <w:szCs w:val="28"/>
        </w:rPr>
      </w:pPr>
      <w:r>
        <w:rPr>
          <w:sz w:val="28"/>
          <w:szCs w:val="28"/>
        </w:rPr>
        <w:t xml:space="preserve">INCOG continues to develop education outreach guidance and information which is presented in a growing variety of media, including </w:t>
      </w:r>
      <w:r w:rsidR="00B07C8C">
        <w:rPr>
          <w:sz w:val="28"/>
          <w:szCs w:val="28"/>
        </w:rPr>
        <w:t>Zoom Meetings and these narrated PowerPoints with companion Workbooks.</w:t>
      </w:r>
    </w:p>
    <w:p w14:paraId="3CB8A783" w14:textId="46734235" w:rsidR="00B07C8C" w:rsidRDefault="00B07C8C" w:rsidP="004473CA">
      <w:pPr>
        <w:spacing w:before="240" w:line="300" w:lineRule="atLeast"/>
        <w:jc w:val="both"/>
        <w:rPr>
          <w:sz w:val="28"/>
          <w:szCs w:val="28"/>
        </w:rPr>
      </w:pPr>
      <w:r>
        <w:rPr>
          <w:sz w:val="28"/>
          <w:szCs w:val="28"/>
        </w:rPr>
        <w:t xml:space="preserve">Please contact INCOG at </w:t>
      </w:r>
      <w:hyperlink r:id="rId32" w:history="1">
        <w:r w:rsidRPr="00303DC6">
          <w:rPr>
            <w:rStyle w:val="Hyperlink"/>
            <w:sz w:val="28"/>
            <w:szCs w:val="28"/>
          </w:rPr>
          <w:t>stormwater@incog.org</w:t>
        </w:r>
      </w:hyperlink>
      <w:r>
        <w:rPr>
          <w:sz w:val="28"/>
          <w:szCs w:val="28"/>
        </w:rPr>
        <w:t xml:space="preserve"> or (918) 579-9451</w:t>
      </w:r>
      <w:r w:rsidR="00CB4392">
        <w:rPr>
          <w:sz w:val="28"/>
          <w:szCs w:val="28"/>
        </w:rPr>
        <w:t xml:space="preserve"> if you have any questions about this material</w:t>
      </w:r>
      <w:r>
        <w:rPr>
          <w:sz w:val="28"/>
          <w:szCs w:val="28"/>
        </w:rPr>
        <w:t>.</w:t>
      </w:r>
    </w:p>
    <w:p w14:paraId="5A767F82" w14:textId="367F85D5" w:rsidR="002B07D4" w:rsidRDefault="002B07D4" w:rsidP="004473CA">
      <w:pPr>
        <w:spacing w:before="240" w:line="300" w:lineRule="atLeast"/>
        <w:jc w:val="both"/>
        <w:rPr>
          <w:sz w:val="28"/>
          <w:szCs w:val="28"/>
        </w:rPr>
      </w:pPr>
    </w:p>
    <w:p w14:paraId="553E000A" w14:textId="77777777" w:rsidR="00CB4392" w:rsidRDefault="00CB4392" w:rsidP="004473CA">
      <w:pPr>
        <w:spacing w:before="240" w:line="300" w:lineRule="atLeast"/>
        <w:jc w:val="both"/>
        <w:rPr>
          <w:sz w:val="28"/>
          <w:szCs w:val="28"/>
        </w:rPr>
      </w:pPr>
    </w:p>
    <w:p w14:paraId="38BB5542" w14:textId="05C2A69D" w:rsidR="0047628C" w:rsidRPr="00500CC4" w:rsidRDefault="0047628C" w:rsidP="004473CA">
      <w:pPr>
        <w:spacing w:before="240" w:line="300" w:lineRule="atLeast"/>
        <w:jc w:val="both"/>
        <w:rPr>
          <w:sz w:val="28"/>
          <w:szCs w:val="28"/>
        </w:rPr>
      </w:pPr>
      <w:r w:rsidRPr="00C80392">
        <w:rPr>
          <w:i/>
          <w:color w:val="171717" w:themeColor="background2" w:themeShade="1A"/>
        </w:rPr>
        <w:t>INCOG DISCLAIMER: The information provided by INCOG does not necessarily reflect the views and positions of other persons or agencies. Please consult DEQ stormwater staff for information about stormwater permit requirements, implementation, assessments and enforcement. Also, contact INCOG for information about INCOG’s Green Country Stormwater Alliance (GCSA) or this document.</w:t>
      </w:r>
      <w:r w:rsidRPr="00C80392">
        <w:rPr>
          <w:i/>
          <w:color w:val="171717" w:themeColor="background2" w:themeShade="1A"/>
          <w:spacing w:val="20"/>
        </w:rPr>
        <w:t xml:space="preserve">  </w:t>
      </w:r>
    </w:p>
    <w:sectPr w:rsidR="0047628C" w:rsidRPr="00500CC4" w:rsidSect="008426DE">
      <w:headerReference w:type="default" r:id="rId33"/>
      <w:footerReference w:type="default" r:id="rId34"/>
      <w:pgSz w:w="12240" w:h="15840"/>
      <w:pgMar w:top="1152" w:right="1152" w:bottom="1152"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4ABD7" w14:textId="77777777" w:rsidR="00402649" w:rsidRDefault="00402649" w:rsidP="004473CA">
      <w:pPr>
        <w:spacing w:line="240" w:lineRule="auto"/>
      </w:pPr>
      <w:r>
        <w:separator/>
      </w:r>
    </w:p>
  </w:endnote>
  <w:endnote w:type="continuationSeparator" w:id="0">
    <w:p w14:paraId="3F7E5B3E" w14:textId="77777777" w:rsidR="00402649" w:rsidRDefault="00402649" w:rsidP="00447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6532342"/>
      <w:docPartObj>
        <w:docPartGallery w:val="Page Numbers (Bottom of Page)"/>
        <w:docPartUnique/>
      </w:docPartObj>
    </w:sdtPr>
    <w:sdtEndPr>
      <w:rPr>
        <w:noProof/>
      </w:rPr>
    </w:sdtEndPr>
    <w:sdtContent>
      <w:p w14:paraId="6BCAEA40" w14:textId="01A8FDF7" w:rsidR="005735ED" w:rsidRDefault="005735ED">
        <w:pPr>
          <w:pStyle w:val="Footer"/>
          <w:jc w:val="right"/>
        </w:pPr>
        <w:r>
          <w:rPr>
            <w:noProof/>
          </w:rPr>
          <mc:AlternateContent>
            <mc:Choice Requires="wpg">
              <w:drawing>
                <wp:anchor distT="0" distB="0" distL="228600" distR="228600" simplePos="0" relativeHeight="251659264" behindDoc="0" locked="0" layoutInCell="1" allowOverlap="1" wp14:anchorId="3E5BB742" wp14:editId="26196484">
                  <wp:simplePos x="0" y="0"/>
                  <wp:positionH relativeFrom="margin">
                    <wp:align>left</wp:align>
                  </wp:positionH>
                  <wp:positionV relativeFrom="page">
                    <wp:posOffset>9346218</wp:posOffset>
                  </wp:positionV>
                  <wp:extent cx="5210175" cy="363855"/>
                  <wp:effectExtent l="0" t="0" r="9525" b="0"/>
                  <wp:wrapSquare wrapText="bothSides"/>
                  <wp:docPr id="173" name="Group 173"/>
                  <wp:cNvGraphicFramePr/>
                  <a:graphic xmlns:a="http://schemas.openxmlformats.org/drawingml/2006/main">
                    <a:graphicData uri="http://schemas.microsoft.com/office/word/2010/wordprocessingGroup">
                      <wpg:wgp>
                        <wpg:cNvGrpSpPr/>
                        <wpg:grpSpPr>
                          <a:xfrm>
                            <a:off x="0" y="0"/>
                            <a:ext cx="5210175" cy="363855"/>
                            <a:chOff x="0" y="0"/>
                            <a:chExt cx="3313129" cy="998258"/>
                          </a:xfrm>
                        </wpg:grpSpPr>
                        <wps:wsp>
                          <wps:cNvPr id="174" name="Rectangle 174"/>
                          <wps:cNvSpPr/>
                          <wps:spPr>
                            <a:xfrm>
                              <a:off x="0" y="0"/>
                              <a:ext cx="3218688" cy="99825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54855" y="41831"/>
                              <a:ext cx="3258274" cy="956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71E99" w14:textId="77777777" w:rsidR="005735ED" w:rsidRPr="00AB7D2B" w:rsidRDefault="005735ED" w:rsidP="008426DE">
                                <w:pPr>
                                  <w:rPr>
                                    <w:smallCaps/>
                                    <w:color w:val="3366CC"/>
                                    <w:sz w:val="28"/>
                                  </w:rPr>
                                </w:pPr>
                                <w:r w:rsidRPr="00AB7D2B">
                                  <w:rPr>
                                    <w:smallCaps/>
                                    <w:color w:val="3366CC"/>
                                    <w:sz w:val="28"/>
                                    <w:szCs w:val="28"/>
                                  </w:rPr>
                                  <w:t>Prepared for Green Country Stormwater Alliance (GCSA)</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5BB742" id="Group 173" o:spid="_x0000_s1027" style="position:absolute;left:0;text-align:left;margin-left:0;margin-top:735.9pt;width:410.25pt;height:28.65pt;z-index:251659264;mso-wrap-distance-left:18pt;mso-wrap-distance-right:18pt;mso-position-horizontal:left;mso-position-horizontal-relative:margin;mso-position-vertical-relative:page;mso-width-relative:margin;mso-height-relative:margin" coordsize="33131,9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">
                  <v:rect id="Rectangle 174" o:spid="_x0000_s1028" style="position:absolute;width:32186;height:9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 o:title="" recolor="t" rotate="t" type="frame"/>
                    </v:rect>
                  </v:group>
                  <v:shapetype id="_x0000_t202" coordsize="21600,21600" o:spt="202" path="m,l,21600r21600,l21600,xe">
                    <v:stroke joinstyle="miter"/>
                    <v:path gradientshapeok="t" o:connecttype="rect"/>
                  </v:shapetype>
                  <v:shape id="Text Box 178" o:spid="_x0000_s1032" type="#_x0000_t202" style="position:absolute;left:548;top:418;width:32583;height:9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6CD71E99" w14:textId="77777777" w:rsidR="005735ED" w:rsidRPr="00AB7D2B" w:rsidRDefault="005735ED" w:rsidP="008426DE">
                          <w:pPr>
                            <w:rPr>
                              <w:smallCaps/>
                              <w:color w:val="3366CC"/>
                              <w:sz w:val="28"/>
                            </w:rPr>
                          </w:pPr>
                          <w:r w:rsidRPr="00AB7D2B">
                            <w:rPr>
                              <w:smallCaps/>
                              <w:color w:val="3366CC"/>
                              <w:sz w:val="28"/>
                              <w:szCs w:val="28"/>
                            </w:rPr>
                            <w:t>Prepared for Green Country Stormwater Alliance (GCSA)</w:t>
                          </w:r>
                        </w:p>
                      </w:txbxContent>
                    </v:textbox>
                  </v:shape>
                  <w10:wrap type="square" anchorx="margin" anchory="page"/>
                </v:group>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6802C618" w14:textId="7C2063FE" w:rsidR="005735ED" w:rsidRDefault="00573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98916" w14:textId="77777777" w:rsidR="00402649" w:rsidRDefault="00402649" w:rsidP="004473CA">
      <w:pPr>
        <w:spacing w:line="240" w:lineRule="auto"/>
      </w:pPr>
      <w:r>
        <w:separator/>
      </w:r>
    </w:p>
  </w:footnote>
  <w:footnote w:type="continuationSeparator" w:id="0">
    <w:p w14:paraId="4BA0AF5D" w14:textId="77777777" w:rsidR="00402649" w:rsidRDefault="00402649" w:rsidP="004473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DCD34" w14:textId="23710703" w:rsidR="005735ED" w:rsidRPr="005F1E89" w:rsidRDefault="005735ED" w:rsidP="0047628C">
    <w:pPr>
      <w:pStyle w:val="Header"/>
      <w:shd w:val="clear" w:color="auto" w:fill="B4C6E7" w:themeFill="accent1" w:themeFillTint="66"/>
      <w:rPr>
        <w:i/>
        <w:iCs/>
        <w:color w:val="3366CC"/>
        <w:spacing w:val="20"/>
        <w:sz w:val="40"/>
        <w:szCs w:val="40"/>
      </w:rPr>
    </w:pPr>
    <w:r w:rsidRPr="005F1E89">
      <w:rPr>
        <w:i/>
        <w:iCs/>
        <w:color w:val="3366CC"/>
        <w:spacing w:val="20"/>
        <w:sz w:val="40"/>
        <w:szCs w:val="40"/>
      </w:rPr>
      <w:t xml:space="preserve">GCSA </w:t>
    </w:r>
    <w:r>
      <w:rPr>
        <w:i/>
        <w:iCs/>
        <w:color w:val="3366CC"/>
        <w:spacing w:val="20"/>
        <w:sz w:val="40"/>
        <w:szCs w:val="40"/>
      </w:rPr>
      <w:t>Employee Training: Stormwater 101</w:t>
    </w:r>
  </w:p>
  <w:p w14:paraId="10BE0496" w14:textId="77777777" w:rsidR="005735ED" w:rsidRDefault="00573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16ACE"/>
    <w:multiLevelType w:val="hybridMultilevel"/>
    <w:tmpl w:val="518C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0E0C0D"/>
    <w:multiLevelType w:val="hybridMultilevel"/>
    <w:tmpl w:val="C79AF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374862"/>
    <w:multiLevelType w:val="hybridMultilevel"/>
    <w:tmpl w:val="AAC86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7C0C9E"/>
    <w:multiLevelType w:val="hybridMultilevel"/>
    <w:tmpl w:val="A790C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43439D"/>
    <w:multiLevelType w:val="hybridMultilevel"/>
    <w:tmpl w:val="8E3AC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627"/>
    <w:rsid w:val="000108F3"/>
    <w:rsid w:val="00040973"/>
    <w:rsid w:val="0005791D"/>
    <w:rsid w:val="00066EC2"/>
    <w:rsid w:val="0007218D"/>
    <w:rsid w:val="0007700C"/>
    <w:rsid w:val="00083FE4"/>
    <w:rsid w:val="00087258"/>
    <w:rsid w:val="00096B87"/>
    <w:rsid w:val="000B5CEC"/>
    <w:rsid w:val="000E26C4"/>
    <w:rsid w:val="00113C41"/>
    <w:rsid w:val="00132D31"/>
    <w:rsid w:val="00132DDE"/>
    <w:rsid w:val="0013775B"/>
    <w:rsid w:val="00144AFC"/>
    <w:rsid w:val="00151FD0"/>
    <w:rsid w:val="00160A9A"/>
    <w:rsid w:val="00162F43"/>
    <w:rsid w:val="001908F4"/>
    <w:rsid w:val="00192A7D"/>
    <w:rsid w:val="001C3907"/>
    <w:rsid w:val="001F50D3"/>
    <w:rsid w:val="001F73B1"/>
    <w:rsid w:val="002202CB"/>
    <w:rsid w:val="00220D1F"/>
    <w:rsid w:val="00221B1E"/>
    <w:rsid w:val="0022365C"/>
    <w:rsid w:val="002452B2"/>
    <w:rsid w:val="00260737"/>
    <w:rsid w:val="00272D9A"/>
    <w:rsid w:val="002A53AC"/>
    <w:rsid w:val="002B07D4"/>
    <w:rsid w:val="002B211B"/>
    <w:rsid w:val="002C2673"/>
    <w:rsid w:val="002D4A46"/>
    <w:rsid w:val="002D6DE6"/>
    <w:rsid w:val="002D7E50"/>
    <w:rsid w:val="002E367D"/>
    <w:rsid w:val="002E54BC"/>
    <w:rsid w:val="002F290D"/>
    <w:rsid w:val="002F6AD6"/>
    <w:rsid w:val="003068EA"/>
    <w:rsid w:val="00306A61"/>
    <w:rsid w:val="00323C29"/>
    <w:rsid w:val="00331790"/>
    <w:rsid w:val="00331DC6"/>
    <w:rsid w:val="003608C1"/>
    <w:rsid w:val="003710A1"/>
    <w:rsid w:val="003759F5"/>
    <w:rsid w:val="00383F49"/>
    <w:rsid w:val="0038626F"/>
    <w:rsid w:val="003A1F7F"/>
    <w:rsid w:val="003A3287"/>
    <w:rsid w:val="003B267B"/>
    <w:rsid w:val="003B2A37"/>
    <w:rsid w:val="003C323A"/>
    <w:rsid w:val="003C4E34"/>
    <w:rsid w:val="003D23D1"/>
    <w:rsid w:val="003D27AA"/>
    <w:rsid w:val="003E57E0"/>
    <w:rsid w:val="003E5CBB"/>
    <w:rsid w:val="003F2F79"/>
    <w:rsid w:val="003F3767"/>
    <w:rsid w:val="00402649"/>
    <w:rsid w:val="00412066"/>
    <w:rsid w:val="00432594"/>
    <w:rsid w:val="004430DB"/>
    <w:rsid w:val="004453BB"/>
    <w:rsid w:val="004473CA"/>
    <w:rsid w:val="00473ECC"/>
    <w:rsid w:val="0047628C"/>
    <w:rsid w:val="0049248F"/>
    <w:rsid w:val="004A1E59"/>
    <w:rsid w:val="004A21AD"/>
    <w:rsid w:val="004A5B2A"/>
    <w:rsid w:val="004A69C3"/>
    <w:rsid w:val="004A6F36"/>
    <w:rsid w:val="004B10C1"/>
    <w:rsid w:val="004C3721"/>
    <w:rsid w:val="004D5AA1"/>
    <w:rsid w:val="004E63BB"/>
    <w:rsid w:val="00500CC4"/>
    <w:rsid w:val="00504836"/>
    <w:rsid w:val="00507806"/>
    <w:rsid w:val="00510A9D"/>
    <w:rsid w:val="00512DE3"/>
    <w:rsid w:val="0051459B"/>
    <w:rsid w:val="005176A0"/>
    <w:rsid w:val="0052093E"/>
    <w:rsid w:val="00520ADC"/>
    <w:rsid w:val="00522F5B"/>
    <w:rsid w:val="005237B7"/>
    <w:rsid w:val="00523E7E"/>
    <w:rsid w:val="00531F40"/>
    <w:rsid w:val="00542841"/>
    <w:rsid w:val="005735ED"/>
    <w:rsid w:val="00581FD8"/>
    <w:rsid w:val="00587AD6"/>
    <w:rsid w:val="00587BBC"/>
    <w:rsid w:val="005B2EFF"/>
    <w:rsid w:val="005C3E22"/>
    <w:rsid w:val="005D2087"/>
    <w:rsid w:val="005D550C"/>
    <w:rsid w:val="005D701C"/>
    <w:rsid w:val="005F2F3D"/>
    <w:rsid w:val="006064EA"/>
    <w:rsid w:val="00606C2E"/>
    <w:rsid w:val="00606E1F"/>
    <w:rsid w:val="006136D1"/>
    <w:rsid w:val="00622101"/>
    <w:rsid w:val="00636635"/>
    <w:rsid w:val="006367E4"/>
    <w:rsid w:val="00642D14"/>
    <w:rsid w:val="006502D7"/>
    <w:rsid w:val="0065549C"/>
    <w:rsid w:val="00657824"/>
    <w:rsid w:val="00660A4A"/>
    <w:rsid w:val="0066449E"/>
    <w:rsid w:val="00674D1E"/>
    <w:rsid w:val="00697FB4"/>
    <w:rsid w:val="006A099F"/>
    <w:rsid w:val="006B6F37"/>
    <w:rsid w:val="006C417B"/>
    <w:rsid w:val="006C4347"/>
    <w:rsid w:val="006C4C36"/>
    <w:rsid w:val="006D03F2"/>
    <w:rsid w:val="006D17C0"/>
    <w:rsid w:val="006E597F"/>
    <w:rsid w:val="006F7EF8"/>
    <w:rsid w:val="00715267"/>
    <w:rsid w:val="00722620"/>
    <w:rsid w:val="00740E00"/>
    <w:rsid w:val="00744A36"/>
    <w:rsid w:val="00751DFD"/>
    <w:rsid w:val="0075772B"/>
    <w:rsid w:val="00767A77"/>
    <w:rsid w:val="00771C55"/>
    <w:rsid w:val="0077235D"/>
    <w:rsid w:val="00777627"/>
    <w:rsid w:val="00783E82"/>
    <w:rsid w:val="007979F6"/>
    <w:rsid w:val="007A1925"/>
    <w:rsid w:val="007A364C"/>
    <w:rsid w:val="007A6B5A"/>
    <w:rsid w:val="007C2D0D"/>
    <w:rsid w:val="007C317B"/>
    <w:rsid w:val="007C333C"/>
    <w:rsid w:val="007C7810"/>
    <w:rsid w:val="007C78E7"/>
    <w:rsid w:val="007D4965"/>
    <w:rsid w:val="007D579D"/>
    <w:rsid w:val="007E634A"/>
    <w:rsid w:val="007F2281"/>
    <w:rsid w:val="007F2659"/>
    <w:rsid w:val="008040B2"/>
    <w:rsid w:val="00805728"/>
    <w:rsid w:val="008060BF"/>
    <w:rsid w:val="0081275A"/>
    <w:rsid w:val="008260EC"/>
    <w:rsid w:val="00834D8D"/>
    <w:rsid w:val="008426DE"/>
    <w:rsid w:val="00860BDF"/>
    <w:rsid w:val="0087210B"/>
    <w:rsid w:val="00877668"/>
    <w:rsid w:val="00886C09"/>
    <w:rsid w:val="00890187"/>
    <w:rsid w:val="008A13C2"/>
    <w:rsid w:val="008A3BD9"/>
    <w:rsid w:val="008C268D"/>
    <w:rsid w:val="008D5097"/>
    <w:rsid w:val="008D50F2"/>
    <w:rsid w:val="008E680A"/>
    <w:rsid w:val="008F2B2C"/>
    <w:rsid w:val="008F5BDC"/>
    <w:rsid w:val="008F5E7A"/>
    <w:rsid w:val="00912E1A"/>
    <w:rsid w:val="00921DDC"/>
    <w:rsid w:val="00925498"/>
    <w:rsid w:val="00936F0B"/>
    <w:rsid w:val="00951BF1"/>
    <w:rsid w:val="00953BB1"/>
    <w:rsid w:val="009728EA"/>
    <w:rsid w:val="00975C17"/>
    <w:rsid w:val="00976170"/>
    <w:rsid w:val="009837B8"/>
    <w:rsid w:val="00986B6E"/>
    <w:rsid w:val="00993D0B"/>
    <w:rsid w:val="009A2F55"/>
    <w:rsid w:val="009B1D8E"/>
    <w:rsid w:val="009B399E"/>
    <w:rsid w:val="009C3D8E"/>
    <w:rsid w:val="009D57C1"/>
    <w:rsid w:val="009E0891"/>
    <w:rsid w:val="009F655A"/>
    <w:rsid w:val="00A0534F"/>
    <w:rsid w:val="00A24B84"/>
    <w:rsid w:val="00A301D2"/>
    <w:rsid w:val="00A371B0"/>
    <w:rsid w:val="00A42655"/>
    <w:rsid w:val="00A5262F"/>
    <w:rsid w:val="00A60F1D"/>
    <w:rsid w:val="00A750D0"/>
    <w:rsid w:val="00A83428"/>
    <w:rsid w:val="00A8543D"/>
    <w:rsid w:val="00A96CD2"/>
    <w:rsid w:val="00AB4118"/>
    <w:rsid w:val="00AB7239"/>
    <w:rsid w:val="00AC25E9"/>
    <w:rsid w:val="00AC317F"/>
    <w:rsid w:val="00AC7ECB"/>
    <w:rsid w:val="00B00A32"/>
    <w:rsid w:val="00B00BA6"/>
    <w:rsid w:val="00B07B62"/>
    <w:rsid w:val="00B07C8C"/>
    <w:rsid w:val="00B133D2"/>
    <w:rsid w:val="00B15C32"/>
    <w:rsid w:val="00B27BC5"/>
    <w:rsid w:val="00B34070"/>
    <w:rsid w:val="00B34DEC"/>
    <w:rsid w:val="00B4045A"/>
    <w:rsid w:val="00B422BF"/>
    <w:rsid w:val="00B42CF3"/>
    <w:rsid w:val="00B47376"/>
    <w:rsid w:val="00B552F4"/>
    <w:rsid w:val="00B700EA"/>
    <w:rsid w:val="00B732E8"/>
    <w:rsid w:val="00B828A4"/>
    <w:rsid w:val="00B83608"/>
    <w:rsid w:val="00B8497D"/>
    <w:rsid w:val="00B91349"/>
    <w:rsid w:val="00B914D1"/>
    <w:rsid w:val="00B930A3"/>
    <w:rsid w:val="00B97D8F"/>
    <w:rsid w:val="00BB70A3"/>
    <w:rsid w:val="00BC64B7"/>
    <w:rsid w:val="00BD7DA9"/>
    <w:rsid w:val="00BD7FDC"/>
    <w:rsid w:val="00BE1D8D"/>
    <w:rsid w:val="00BE67F7"/>
    <w:rsid w:val="00BF2A80"/>
    <w:rsid w:val="00BF7CEC"/>
    <w:rsid w:val="00C04EC4"/>
    <w:rsid w:val="00C10052"/>
    <w:rsid w:val="00C16E2B"/>
    <w:rsid w:val="00C328F0"/>
    <w:rsid w:val="00C42DF7"/>
    <w:rsid w:val="00C44ED5"/>
    <w:rsid w:val="00C50731"/>
    <w:rsid w:val="00C66088"/>
    <w:rsid w:val="00C95044"/>
    <w:rsid w:val="00CA0384"/>
    <w:rsid w:val="00CA6CF8"/>
    <w:rsid w:val="00CA7DE8"/>
    <w:rsid w:val="00CB22C2"/>
    <w:rsid w:val="00CB4392"/>
    <w:rsid w:val="00CC0CE3"/>
    <w:rsid w:val="00CC6706"/>
    <w:rsid w:val="00CD7354"/>
    <w:rsid w:val="00CE525B"/>
    <w:rsid w:val="00D0463A"/>
    <w:rsid w:val="00D10228"/>
    <w:rsid w:val="00D17EF3"/>
    <w:rsid w:val="00D242E3"/>
    <w:rsid w:val="00D307F0"/>
    <w:rsid w:val="00D331C3"/>
    <w:rsid w:val="00D37875"/>
    <w:rsid w:val="00D51407"/>
    <w:rsid w:val="00D62EF6"/>
    <w:rsid w:val="00D63C85"/>
    <w:rsid w:val="00D72614"/>
    <w:rsid w:val="00D73390"/>
    <w:rsid w:val="00DA1174"/>
    <w:rsid w:val="00DA37F2"/>
    <w:rsid w:val="00DA4700"/>
    <w:rsid w:val="00DA5EF0"/>
    <w:rsid w:val="00DA7D53"/>
    <w:rsid w:val="00DE29E6"/>
    <w:rsid w:val="00DF38F8"/>
    <w:rsid w:val="00E032FA"/>
    <w:rsid w:val="00E10D8A"/>
    <w:rsid w:val="00E114E5"/>
    <w:rsid w:val="00E25361"/>
    <w:rsid w:val="00E43B05"/>
    <w:rsid w:val="00E454E3"/>
    <w:rsid w:val="00E63B5E"/>
    <w:rsid w:val="00E7138C"/>
    <w:rsid w:val="00E84159"/>
    <w:rsid w:val="00EB41F1"/>
    <w:rsid w:val="00EC1437"/>
    <w:rsid w:val="00EC38B9"/>
    <w:rsid w:val="00ED1EAE"/>
    <w:rsid w:val="00ED3FDC"/>
    <w:rsid w:val="00ED4C02"/>
    <w:rsid w:val="00EE17FD"/>
    <w:rsid w:val="00EE7EE6"/>
    <w:rsid w:val="00F01353"/>
    <w:rsid w:val="00F068ED"/>
    <w:rsid w:val="00F100A8"/>
    <w:rsid w:val="00F17C15"/>
    <w:rsid w:val="00F26C2F"/>
    <w:rsid w:val="00F3420D"/>
    <w:rsid w:val="00F3610D"/>
    <w:rsid w:val="00F418C3"/>
    <w:rsid w:val="00F465F7"/>
    <w:rsid w:val="00F5414E"/>
    <w:rsid w:val="00F72868"/>
    <w:rsid w:val="00F77966"/>
    <w:rsid w:val="00F82ADD"/>
    <w:rsid w:val="00F82B2F"/>
    <w:rsid w:val="00F82C34"/>
    <w:rsid w:val="00F85E5A"/>
    <w:rsid w:val="00F8670A"/>
    <w:rsid w:val="00F9032A"/>
    <w:rsid w:val="00F9756D"/>
    <w:rsid w:val="00FB3AF5"/>
    <w:rsid w:val="00FB4254"/>
    <w:rsid w:val="00FB7962"/>
    <w:rsid w:val="00FE6456"/>
    <w:rsid w:val="00FE72B1"/>
    <w:rsid w:val="00FF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7EAE0"/>
  <w15:chartTrackingRefBased/>
  <w15:docId w15:val="{2E537493-1951-49DD-8C87-CF9480DF0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Calibri"/>
        <w:sz w:val="24"/>
        <w:szCs w:val="24"/>
        <w:lang w:val="en-US"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3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3CA"/>
    <w:pPr>
      <w:tabs>
        <w:tab w:val="center" w:pos="4680"/>
        <w:tab w:val="right" w:pos="9360"/>
      </w:tabs>
      <w:spacing w:line="240" w:lineRule="auto"/>
    </w:pPr>
  </w:style>
  <w:style w:type="character" w:customStyle="1" w:styleId="HeaderChar">
    <w:name w:val="Header Char"/>
    <w:basedOn w:val="DefaultParagraphFont"/>
    <w:link w:val="Header"/>
    <w:uiPriority w:val="99"/>
    <w:rsid w:val="004473CA"/>
  </w:style>
  <w:style w:type="paragraph" w:styleId="Footer">
    <w:name w:val="footer"/>
    <w:basedOn w:val="Normal"/>
    <w:link w:val="FooterChar"/>
    <w:uiPriority w:val="99"/>
    <w:unhideWhenUsed/>
    <w:rsid w:val="004473CA"/>
    <w:pPr>
      <w:tabs>
        <w:tab w:val="center" w:pos="4680"/>
        <w:tab w:val="right" w:pos="9360"/>
      </w:tabs>
      <w:spacing w:line="240" w:lineRule="auto"/>
    </w:pPr>
  </w:style>
  <w:style w:type="character" w:customStyle="1" w:styleId="FooterChar">
    <w:name w:val="Footer Char"/>
    <w:basedOn w:val="DefaultParagraphFont"/>
    <w:link w:val="Footer"/>
    <w:uiPriority w:val="99"/>
    <w:rsid w:val="004473CA"/>
  </w:style>
  <w:style w:type="paragraph" w:styleId="ListParagraph">
    <w:name w:val="List Paragraph"/>
    <w:basedOn w:val="Normal"/>
    <w:uiPriority w:val="34"/>
    <w:qFormat/>
    <w:rsid w:val="00A83428"/>
    <w:pPr>
      <w:ind w:left="720"/>
      <w:contextualSpacing/>
    </w:pPr>
  </w:style>
  <w:style w:type="character" w:styleId="Hyperlink">
    <w:name w:val="Hyperlink"/>
    <w:basedOn w:val="DefaultParagraphFont"/>
    <w:uiPriority w:val="99"/>
    <w:unhideWhenUsed/>
    <w:rsid w:val="00EE7EE6"/>
    <w:rPr>
      <w:color w:val="0563C1" w:themeColor="hyperlink"/>
      <w:u w:val="single"/>
    </w:rPr>
  </w:style>
  <w:style w:type="character" w:styleId="UnresolvedMention">
    <w:name w:val="Unresolved Mention"/>
    <w:basedOn w:val="DefaultParagraphFont"/>
    <w:uiPriority w:val="99"/>
    <w:semiHidden/>
    <w:unhideWhenUsed/>
    <w:rsid w:val="00EE7EE6"/>
    <w:rPr>
      <w:color w:val="605E5C"/>
      <w:shd w:val="clear" w:color="auto" w:fill="E1DFDD"/>
    </w:rPr>
  </w:style>
  <w:style w:type="character" w:styleId="CommentReference">
    <w:name w:val="annotation reference"/>
    <w:basedOn w:val="DefaultParagraphFont"/>
    <w:uiPriority w:val="99"/>
    <w:semiHidden/>
    <w:unhideWhenUsed/>
    <w:rsid w:val="002F290D"/>
    <w:rPr>
      <w:sz w:val="16"/>
      <w:szCs w:val="16"/>
    </w:rPr>
  </w:style>
  <w:style w:type="paragraph" w:styleId="CommentText">
    <w:name w:val="annotation text"/>
    <w:basedOn w:val="Normal"/>
    <w:link w:val="CommentTextChar"/>
    <w:uiPriority w:val="99"/>
    <w:semiHidden/>
    <w:unhideWhenUsed/>
    <w:rsid w:val="002F290D"/>
    <w:pPr>
      <w:spacing w:line="240" w:lineRule="auto"/>
    </w:pPr>
    <w:rPr>
      <w:sz w:val="20"/>
      <w:szCs w:val="20"/>
    </w:rPr>
  </w:style>
  <w:style w:type="character" w:customStyle="1" w:styleId="CommentTextChar">
    <w:name w:val="Comment Text Char"/>
    <w:basedOn w:val="DefaultParagraphFont"/>
    <w:link w:val="CommentText"/>
    <w:uiPriority w:val="99"/>
    <w:semiHidden/>
    <w:rsid w:val="002F290D"/>
    <w:rPr>
      <w:sz w:val="20"/>
      <w:szCs w:val="20"/>
    </w:rPr>
  </w:style>
  <w:style w:type="paragraph" w:styleId="CommentSubject">
    <w:name w:val="annotation subject"/>
    <w:basedOn w:val="CommentText"/>
    <w:next w:val="CommentText"/>
    <w:link w:val="CommentSubjectChar"/>
    <w:uiPriority w:val="99"/>
    <w:semiHidden/>
    <w:unhideWhenUsed/>
    <w:rsid w:val="002F290D"/>
    <w:rPr>
      <w:b/>
      <w:bCs/>
    </w:rPr>
  </w:style>
  <w:style w:type="character" w:customStyle="1" w:styleId="CommentSubjectChar">
    <w:name w:val="Comment Subject Char"/>
    <w:basedOn w:val="CommentTextChar"/>
    <w:link w:val="CommentSubject"/>
    <w:uiPriority w:val="99"/>
    <w:semiHidden/>
    <w:rsid w:val="002F290D"/>
    <w:rPr>
      <w:b/>
      <w:bCs/>
      <w:sz w:val="20"/>
      <w:szCs w:val="20"/>
    </w:rPr>
  </w:style>
  <w:style w:type="paragraph" w:styleId="BalloonText">
    <w:name w:val="Balloon Text"/>
    <w:basedOn w:val="Normal"/>
    <w:link w:val="BalloonTextChar"/>
    <w:uiPriority w:val="99"/>
    <w:semiHidden/>
    <w:unhideWhenUsed/>
    <w:rsid w:val="002F290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9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eq.maps.arcgis.com/home/index.html"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deq.ok.gov/water-quality-division/watershed-planning/integrated-report/" TargetMode="External"/><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mailto:stormwater@incog.or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sv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1640</TotalTime>
  <Pages>10</Pages>
  <Words>2201</Words>
  <Characters>12552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Smith</dc:creator>
  <cp:keywords/>
  <dc:description/>
  <cp:lastModifiedBy>Richard Smith</cp:lastModifiedBy>
  <cp:revision>133</cp:revision>
  <dcterms:created xsi:type="dcterms:W3CDTF">2020-06-17T13:30:00Z</dcterms:created>
  <dcterms:modified xsi:type="dcterms:W3CDTF">2021-01-27T16:22:00Z</dcterms:modified>
</cp:coreProperties>
</file>